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9FEB4">
      <w:pPr>
        <w:pStyle w:val="2"/>
        <w:spacing w:line="254" w:lineRule="auto"/>
      </w:pPr>
      <w:bookmarkStart w:id="0" w:name="_GoBack"/>
      <w:bookmarkEnd w:id="0"/>
    </w:p>
    <w:p w14:paraId="2838A350">
      <w:pPr>
        <w:spacing w:before="115" w:line="255" w:lineRule="auto"/>
        <w:ind w:left="2634" w:right="1525" w:hanging="132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-9"/>
          <w:sz w:val="35"/>
          <w:szCs w:val="35"/>
        </w:rPr>
        <w:t>省商务厅关于印发《湖北省拍卖业经营资格</w:t>
      </w:r>
      <w:r>
        <w:rPr>
          <w:rFonts w:ascii="宋体" w:hAnsi="宋体" w:eastAsia="宋体" w:cs="宋体"/>
          <w:spacing w:val="5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5"/>
          <w:szCs w:val="35"/>
        </w:rPr>
        <w:t>监督核查办法》的通知</w:t>
      </w:r>
    </w:p>
    <w:p w14:paraId="3D30A747">
      <w:pPr>
        <w:pStyle w:val="2"/>
        <w:spacing w:line="453" w:lineRule="auto"/>
      </w:pPr>
    </w:p>
    <w:p w14:paraId="3797F2A2">
      <w:pPr>
        <w:spacing w:before="95" w:line="222" w:lineRule="auto"/>
        <w:ind w:left="220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0"/>
          <w:sz w:val="29"/>
          <w:szCs w:val="29"/>
        </w:rPr>
        <w:t>各市、州、直管市、林区商务主管部门：</w:t>
      </w:r>
    </w:p>
    <w:p w14:paraId="0412952D">
      <w:pPr>
        <w:spacing w:before="122" w:line="323" w:lineRule="auto"/>
        <w:ind w:left="220" w:right="849" w:firstLine="61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现将《湖北省拍卖业经营资格监督核查办法》印发给你们，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请结合各地实际，认真贯彻执行。</w:t>
      </w:r>
    </w:p>
    <w:p w14:paraId="5C67652D">
      <w:pPr>
        <w:pStyle w:val="2"/>
        <w:spacing w:line="249" w:lineRule="auto"/>
      </w:pPr>
    </w:p>
    <w:p w14:paraId="2471A258">
      <w:pPr>
        <w:pStyle w:val="2"/>
        <w:spacing w:line="250" w:lineRule="auto"/>
      </w:pPr>
    </w:p>
    <w:p w14:paraId="65321CC1">
      <w:pPr>
        <w:spacing w:before="94" w:line="222" w:lineRule="auto"/>
        <w:ind w:left="810"/>
        <w:rPr>
          <w:rFonts w:ascii="仿宋" w:hAnsi="仿宋" w:eastAsia="仿宋" w:cs="仿宋"/>
          <w:sz w:val="29"/>
          <w:szCs w:val="2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116840</wp:posOffset>
            </wp:positionV>
            <wp:extent cx="1625600" cy="15748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629" cy="157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11"/>
          <w:sz w:val="29"/>
          <w:szCs w:val="29"/>
        </w:rPr>
        <w:t>附件：湖北省拍卖业经营资格监督核查办法</w:t>
      </w:r>
    </w:p>
    <w:p w14:paraId="08EDE02E">
      <w:pPr>
        <w:pStyle w:val="2"/>
        <w:spacing w:line="323" w:lineRule="auto"/>
      </w:pPr>
    </w:p>
    <w:p w14:paraId="490142BA">
      <w:pPr>
        <w:pStyle w:val="2"/>
        <w:spacing w:line="324" w:lineRule="auto"/>
      </w:pPr>
    </w:p>
    <w:p w14:paraId="3E9DADD5">
      <w:pPr>
        <w:spacing w:before="101" w:line="222" w:lineRule="auto"/>
        <w:ind w:left="455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2"/>
          <w:sz w:val="31"/>
          <w:szCs w:val="31"/>
        </w:rPr>
        <w:t>二10六年</w:t>
      </w:r>
    </w:p>
    <w:p w14:paraId="7D482110">
      <w:pPr>
        <w:pStyle w:val="2"/>
        <w:spacing w:line="333" w:lineRule="auto"/>
      </w:pPr>
    </w:p>
    <w:p w14:paraId="52949001">
      <w:pPr>
        <w:pStyle w:val="2"/>
        <w:spacing w:line="333" w:lineRule="auto"/>
      </w:pPr>
    </w:p>
    <w:p w14:paraId="7D1DCE15">
      <w:pPr>
        <w:spacing w:before="95" w:line="224" w:lineRule="auto"/>
        <w:ind w:left="274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spacing w:val="7"/>
          <w:sz w:val="29"/>
          <w:szCs w:val="29"/>
        </w:rPr>
        <w:t>主题词：商务</w:t>
      </w:r>
      <w:r>
        <w:rPr>
          <w:rFonts w:ascii="黑体" w:hAnsi="黑体" w:eastAsia="黑体" w:cs="黑体"/>
          <w:spacing w:val="7"/>
          <w:sz w:val="29"/>
          <w:szCs w:val="29"/>
        </w:rPr>
        <w:t xml:space="preserve">  </w:t>
      </w:r>
      <w:r>
        <w:rPr>
          <w:rFonts w:ascii="黑体" w:hAnsi="黑体" w:eastAsia="黑体" w:cs="黑体"/>
          <w:b/>
          <w:bCs/>
          <w:spacing w:val="7"/>
          <w:sz w:val="29"/>
          <w:szCs w:val="29"/>
        </w:rPr>
        <w:t>拍卖</w:t>
      </w:r>
      <w:r>
        <w:rPr>
          <w:rFonts w:ascii="黑体" w:hAnsi="黑体" w:eastAsia="黑体" w:cs="黑体"/>
          <w:spacing w:val="7"/>
          <w:sz w:val="29"/>
          <w:szCs w:val="29"/>
        </w:rPr>
        <w:t xml:space="preserve">  </w:t>
      </w:r>
      <w:r>
        <w:rPr>
          <w:rFonts w:ascii="黑体" w:hAnsi="黑体" w:eastAsia="黑体" w:cs="黑体"/>
          <w:b/>
          <w:bCs/>
          <w:spacing w:val="7"/>
          <w:sz w:val="29"/>
          <w:szCs w:val="29"/>
        </w:rPr>
        <w:t>核查</w:t>
      </w:r>
      <w:r>
        <w:rPr>
          <w:rFonts w:ascii="黑体" w:hAnsi="黑体" w:eastAsia="黑体" w:cs="黑体"/>
          <w:spacing w:val="7"/>
          <w:sz w:val="29"/>
          <w:szCs w:val="29"/>
        </w:rPr>
        <w:t xml:space="preserve">  </w:t>
      </w:r>
      <w:r>
        <w:rPr>
          <w:rFonts w:ascii="黑体" w:hAnsi="黑体" w:eastAsia="黑体" w:cs="黑体"/>
          <w:b/>
          <w:bCs/>
          <w:spacing w:val="7"/>
          <w:sz w:val="29"/>
          <w:szCs w:val="29"/>
        </w:rPr>
        <w:t>通知</w:t>
      </w:r>
    </w:p>
    <w:tbl>
      <w:tblPr>
        <w:tblStyle w:val="7"/>
        <w:tblW w:w="7919" w:type="dxa"/>
        <w:tblInd w:w="2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64"/>
        <w:gridCol w:w="4055"/>
      </w:tblGrid>
      <w:tr w14:paraId="0ACD67E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475" w:hRule="atLeast"/>
        </w:trPr>
        <w:tc>
          <w:tcPr>
            <w:tcW w:w="7919" w:type="dxa"/>
            <w:gridSpan w:val="2"/>
            <w:tcBorders>
              <w:top w:val="single" w:color="000000" w:sz="24" w:space="0"/>
              <w:bottom w:val="single" w:color="000000" w:sz="12" w:space="0"/>
            </w:tcBorders>
            <w:vAlign w:val="top"/>
          </w:tcPr>
          <w:p w14:paraId="0FE9F26E">
            <w:pPr>
              <w:spacing w:before="126" w:line="221" w:lineRule="auto"/>
              <w:ind w:left="479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5"/>
                <w:sz w:val="27"/>
                <w:szCs w:val="27"/>
              </w:rPr>
              <w:t>抄送：中国拍卖行业协会，省拍卖行业协会。</w:t>
            </w:r>
          </w:p>
        </w:tc>
      </w:tr>
      <w:tr w14:paraId="4A08C4E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3864" w:type="dxa"/>
            <w:tcBorders>
              <w:top w:val="single" w:color="000000" w:sz="12" w:space="0"/>
              <w:bottom w:val="single" w:color="000000" w:sz="24" w:space="0"/>
            </w:tcBorders>
            <w:vAlign w:val="top"/>
          </w:tcPr>
          <w:p w14:paraId="3EDC018A">
            <w:pPr>
              <w:spacing w:before="153" w:line="222" w:lineRule="auto"/>
              <w:ind w:left="439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13"/>
                <w:sz w:val="27"/>
                <w:szCs w:val="27"/>
              </w:rPr>
              <w:t>湖北省商务厅办公室</w:t>
            </w:r>
          </w:p>
        </w:tc>
        <w:tc>
          <w:tcPr>
            <w:tcW w:w="4055" w:type="dxa"/>
            <w:tcBorders>
              <w:top w:val="single" w:color="000000" w:sz="12" w:space="0"/>
              <w:bottom w:val="single" w:color="000000" w:sz="24" w:space="0"/>
            </w:tcBorders>
            <w:vAlign w:val="top"/>
          </w:tcPr>
          <w:p w14:paraId="7DFF834F">
            <w:pPr>
              <w:spacing w:before="152" w:line="222" w:lineRule="auto"/>
              <w:ind w:left="965"/>
              <w:rPr>
                <w:rFonts w:ascii="仿宋" w:hAnsi="仿宋" w:eastAsia="仿宋" w:cs="仿宋"/>
                <w:sz w:val="27"/>
                <w:szCs w:val="27"/>
              </w:rPr>
            </w:pPr>
            <w:r>
              <w:rPr>
                <w:rFonts w:ascii="仿宋" w:hAnsi="仿宋" w:eastAsia="仿宋" w:cs="仿宋"/>
                <w:spacing w:val="42"/>
                <w:sz w:val="27"/>
                <w:szCs w:val="27"/>
              </w:rPr>
              <w:t>2006年2月22日印发</w:t>
            </w:r>
          </w:p>
        </w:tc>
      </w:tr>
    </w:tbl>
    <w:p w14:paraId="6287E53C">
      <w:pPr>
        <w:pStyle w:val="2"/>
      </w:pPr>
    </w:p>
    <w:p w14:paraId="3D972412">
      <w:pPr>
        <w:sectPr>
          <w:headerReference r:id="rId5" w:type="default"/>
          <w:footerReference r:id="rId6" w:type="default"/>
          <w:pgSz w:w="11900" w:h="16830"/>
          <w:pgMar w:top="884" w:right="745" w:bottom="0" w:left="1760" w:header="0" w:footer="0" w:gutter="0"/>
          <w:cols w:space="720" w:num="1"/>
        </w:sectPr>
      </w:pPr>
    </w:p>
    <w:p w14:paraId="1A885DFF">
      <w:pPr>
        <w:spacing w:before="57" w:line="241" w:lineRule="auto"/>
        <w:jc w:val="right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15"/>
          <w:sz w:val="29"/>
          <w:szCs w:val="29"/>
        </w:rPr>
        <w:t>2</w:t>
      </w:r>
    </w:p>
    <w:p w14:paraId="74343899">
      <w:pPr>
        <w:pStyle w:val="2"/>
        <w:spacing w:line="250" w:lineRule="auto"/>
      </w:pPr>
    </w:p>
    <w:p w14:paraId="27153F4D">
      <w:pPr>
        <w:pStyle w:val="2"/>
        <w:spacing w:line="250" w:lineRule="auto"/>
      </w:pPr>
    </w:p>
    <w:p w14:paraId="121DD804">
      <w:pPr>
        <w:pStyle w:val="2"/>
        <w:spacing w:line="250" w:lineRule="auto"/>
      </w:pPr>
    </w:p>
    <w:p w14:paraId="6A641D69">
      <w:pPr>
        <w:pStyle w:val="2"/>
        <w:spacing w:line="251" w:lineRule="auto"/>
      </w:pPr>
    </w:p>
    <w:p w14:paraId="45EF7191">
      <w:pPr>
        <w:spacing w:before="94" w:line="219" w:lineRule="auto"/>
        <w:ind w:left="49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b/>
          <w:bCs/>
          <w:spacing w:val="8"/>
          <w:sz w:val="29"/>
          <w:szCs w:val="29"/>
        </w:rPr>
        <w:t>附件</w:t>
      </w:r>
      <w:r>
        <w:rPr>
          <w:rFonts w:ascii="宋体" w:hAnsi="宋体" w:eastAsia="宋体" w:cs="宋体"/>
          <w:spacing w:val="-76"/>
          <w:sz w:val="29"/>
          <w:szCs w:val="29"/>
        </w:rPr>
        <w:t xml:space="preserve"> </w:t>
      </w:r>
      <w:r>
        <w:rPr>
          <w:rFonts w:ascii="宋体" w:hAnsi="宋体" w:eastAsia="宋体" w:cs="宋体"/>
          <w:b/>
          <w:bCs/>
          <w:spacing w:val="8"/>
          <w:sz w:val="29"/>
          <w:szCs w:val="29"/>
        </w:rPr>
        <w:t>：</w:t>
      </w:r>
    </w:p>
    <w:p w14:paraId="66A6C3FB">
      <w:pPr>
        <w:spacing w:before="89" w:line="219" w:lineRule="auto"/>
        <w:ind w:left="1399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-7"/>
          <w:sz w:val="34"/>
          <w:szCs w:val="34"/>
        </w:rPr>
        <w:t>湖北省拍卖业经营资格监督核查办法</w:t>
      </w:r>
    </w:p>
    <w:p w14:paraId="0C8E2548">
      <w:pPr>
        <w:pStyle w:val="2"/>
        <w:spacing w:line="248" w:lineRule="auto"/>
      </w:pPr>
    </w:p>
    <w:p w14:paraId="1B33C775">
      <w:pPr>
        <w:pStyle w:val="2"/>
        <w:spacing w:line="249" w:lineRule="auto"/>
      </w:pPr>
    </w:p>
    <w:p w14:paraId="460FC569">
      <w:pPr>
        <w:spacing w:before="94" w:line="280" w:lineRule="auto"/>
        <w:ind w:left="44" w:right="1019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4"/>
          <w:sz w:val="29"/>
          <w:szCs w:val="29"/>
        </w:rPr>
        <w:t>第</w:t>
      </w:r>
      <w:r>
        <w:rPr>
          <w:rFonts w:ascii="仿宋" w:hAnsi="仿宋" w:eastAsia="仿宋" w:cs="仿宋"/>
          <w:spacing w:val="-84"/>
          <w:sz w:val="29"/>
          <w:szCs w:val="29"/>
        </w:rPr>
        <w:t xml:space="preserve"> </w:t>
      </w:r>
      <w:r>
        <w:rPr>
          <w:rFonts w:ascii="仿宋" w:hAnsi="仿宋" w:eastAsia="仿宋" w:cs="仿宋"/>
          <w:b/>
          <w:bCs/>
          <w:spacing w:val="4"/>
          <w:sz w:val="29"/>
          <w:szCs w:val="29"/>
        </w:rPr>
        <w:t>一</w:t>
      </w:r>
      <w:r>
        <w:rPr>
          <w:rFonts w:ascii="仿宋" w:hAnsi="仿宋" w:eastAsia="仿宋" w:cs="仿宋"/>
          <w:spacing w:val="-85"/>
          <w:sz w:val="29"/>
          <w:szCs w:val="29"/>
        </w:rPr>
        <w:t xml:space="preserve"> </w:t>
      </w:r>
      <w:r>
        <w:rPr>
          <w:rFonts w:ascii="仿宋" w:hAnsi="仿宋" w:eastAsia="仿宋" w:cs="仿宋"/>
          <w:b/>
          <w:bCs/>
          <w:spacing w:val="4"/>
          <w:sz w:val="29"/>
          <w:szCs w:val="29"/>
        </w:rPr>
        <w:t>条</w:t>
      </w:r>
      <w:r>
        <w:rPr>
          <w:rFonts w:ascii="仿宋" w:hAnsi="仿宋" w:eastAsia="仿宋" w:cs="仿宋"/>
          <w:spacing w:val="11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为了加强对全省拍卖业的监督管理，规</w:t>
      </w:r>
      <w:r>
        <w:rPr>
          <w:rFonts w:ascii="仿宋" w:hAnsi="仿宋" w:eastAsia="仿宋" w:cs="仿宋"/>
          <w:spacing w:val="3"/>
          <w:sz w:val="29"/>
          <w:szCs w:val="29"/>
        </w:rPr>
        <w:t>范拍卖行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为，维护拍卖秩序，促进拍卖业健康发展，依据《中华人民共</w:t>
      </w:r>
      <w:r>
        <w:rPr>
          <w:rFonts w:ascii="仿宋" w:hAnsi="仿宋" w:eastAsia="仿宋" w:cs="仿宋"/>
          <w:spacing w:val="1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4"/>
          <w:sz w:val="29"/>
          <w:szCs w:val="29"/>
        </w:rPr>
        <w:t>和国拍卖法》、商务部《拍卖管理办法》及有关法律、法规的规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"/>
          <w:sz w:val="29"/>
          <w:szCs w:val="29"/>
        </w:rPr>
        <w:t>定，制定本办法。</w:t>
      </w:r>
    </w:p>
    <w:p w14:paraId="7C9A25CF">
      <w:pPr>
        <w:spacing w:before="129" w:line="262" w:lineRule="auto"/>
        <w:ind w:left="44" w:right="1050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7"/>
          <w:sz w:val="29"/>
          <w:szCs w:val="29"/>
        </w:rPr>
        <w:t>第二条</w:t>
      </w:r>
      <w:r>
        <w:rPr>
          <w:rFonts w:ascii="仿宋" w:hAnsi="仿宋" w:eastAsia="仿宋" w:cs="仿宋"/>
          <w:spacing w:val="13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本办法适用于住所在本省行政区域内的拍卖企业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及其开展的拍卖经营活动。</w:t>
      </w:r>
    </w:p>
    <w:p w14:paraId="4015076A">
      <w:pPr>
        <w:spacing w:before="127" w:line="263" w:lineRule="auto"/>
        <w:ind w:left="44" w:right="1040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8"/>
          <w:sz w:val="29"/>
          <w:szCs w:val="29"/>
        </w:rPr>
        <w:t>第三条</w:t>
      </w:r>
      <w:r>
        <w:rPr>
          <w:rFonts w:ascii="仿宋" w:hAnsi="仿宋" w:eastAsia="仿宋" w:cs="仿宋"/>
          <w:spacing w:val="11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本办法所称拍卖企业，是指依法设立的从事经营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性拍卖活动的有限责任公司或股份有限公司。</w:t>
      </w:r>
    </w:p>
    <w:p w14:paraId="07CAD256">
      <w:pPr>
        <w:spacing w:before="142" w:line="270" w:lineRule="auto"/>
        <w:ind w:left="44" w:right="1067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6"/>
          <w:sz w:val="29"/>
          <w:szCs w:val="29"/>
        </w:rPr>
        <w:t>第四条</w:t>
      </w:r>
      <w:r>
        <w:rPr>
          <w:rFonts w:ascii="仿宋" w:hAnsi="仿宋" w:eastAsia="仿宋" w:cs="仿宋"/>
          <w:spacing w:val="13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经营资格监督核查，是指商务主管部门依据有关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规定，对拍卖企业及其拍卖经营活动进行的监督检查，以确认</w:t>
      </w:r>
      <w:r>
        <w:rPr>
          <w:rFonts w:ascii="仿宋" w:hAnsi="仿宋" w:eastAsia="仿宋" w:cs="仿宋"/>
          <w:spacing w:val="1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其是否继续具备拍卖经营资格的制度。</w:t>
      </w:r>
    </w:p>
    <w:p w14:paraId="5CF32165">
      <w:pPr>
        <w:spacing w:before="143" w:line="283" w:lineRule="auto"/>
        <w:ind w:left="44" w:right="1063" w:firstLine="61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6"/>
          <w:sz w:val="29"/>
          <w:szCs w:val="29"/>
        </w:rPr>
        <w:t>第五条</w:t>
      </w:r>
      <w:r>
        <w:rPr>
          <w:rFonts w:ascii="仿宋" w:hAnsi="仿宋" w:eastAsia="仿宋" w:cs="仿宋"/>
          <w:spacing w:val="12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省商务厅是全省拍卖行业的主管部门，负责全省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7"/>
          <w:sz w:val="29"/>
          <w:szCs w:val="29"/>
        </w:rPr>
        <w:t>拍卖业经营资格的监督核查工作。各市、州</w:t>
      </w:r>
      <w:r>
        <w:rPr>
          <w:rFonts w:ascii="仿宋" w:hAnsi="仿宋" w:eastAsia="仿宋" w:cs="仿宋"/>
          <w:spacing w:val="6"/>
          <w:sz w:val="29"/>
          <w:szCs w:val="29"/>
        </w:rPr>
        <w:t>、直管市、林区商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务主管部门(以下简称“市、州主管部门”)作为本行政区域内</w:t>
      </w:r>
      <w:r>
        <w:rPr>
          <w:rFonts w:ascii="仿宋" w:hAnsi="仿宋" w:eastAsia="仿宋" w:cs="仿宋"/>
          <w:spacing w:val="1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6"/>
          <w:sz w:val="29"/>
          <w:szCs w:val="29"/>
        </w:rPr>
        <w:t>拍卖行业的主管部门，负责所辖区域内拍卖业经营资</w:t>
      </w:r>
      <w:r>
        <w:rPr>
          <w:rFonts w:ascii="仿宋" w:hAnsi="仿宋" w:eastAsia="仿宋" w:cs="仿宋"/>
          <w:spacing w:val="5"/>
          <w:sz w:val="29"/>
          <w:szCs w:val="29"/>
        </w:rPr>
        <w:t>格的监督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核查工作。</w:t>
      </w:r>
    </w:p>
    <w:p w14:paraId="027E0CF0">
      <w:pPr>
        <w:spacing w:before="133" w:line="221" w:lineRule="auto"/>
        <w:ind w:left="659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b/>
          <w:bCs/>
          <w:spacing w:val="5"/>
          <w:sz w:val="29"/>
          <w:szCs w:val="29"/>
        </w:rPr>
        <w:t>第六条</w:t>
      </w:r>
      <w:r>
        <w:rPr>
          <w:rFonts w:ascii="仿宋" w:hAnsi="仿宋" w:eastAsia="仿宋" w:cs="仿宋"/>
          <w:spacing w:val="-2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经营资格监督核查实行定期核查和不定期核查。</w:t>
      </w:r>
    </w:p>
    <w:p w14:paraId="6C0E3116">
      <w:pPr>
        <w:spacing w:before="128" w:line="222" w:lineRule="auto"/>
        <w:ind w:left="65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7"/>
          <w:sz w:val="29"/>
          <w:szCs w:val="29"/>
        </w:rPr>
        <w:t>定期核查由省商务厅组织实施，时间为每年12月20日至</w:t>
      </w:r>
    </w:p>
    <w:p w14:paraId="583D8079">
      <w:pPr>
        <w:spacing w:before="131" w:line="305" w:lineRule="auto"/>
        <w:ind w:left="44" w:right="1070"/>
        <w:jc w:val="both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36"/>
          <w:sz w:val="29"/>
          <w:szCs w:val="29"/>
        </w:rPr>
        <w:t>次年3月10日。每年12月20日至次年1月10日为拍卖企业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6"/>
          <w:sz w:val="29"/>
          <w:szCs w:val="29"/>
        </w:rPr>
        <w:t>自查时间，次年1月10日至2月20日为市、州主管部门核查</w:t>
      </w:r>
      <w:r>
        <w:rPr>
          <w:rFonts w:ascii="仿宋" w:hAnsi="仿宋" w:eastAsia="仿宋" w:cs="仿宋"/>
          <w:spacing w:val="8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4"/>
          <w:sz w:val="29"/>
          <w:szCs w:val="29"/>
        </w:rPr>
        <w:t>时间，次年2月20日至3月10日，为省商务厅复查时间。</w:t>
      </w:r>
    </w:p>
    <w:p w14:paraId="54242730">
      <w:pPr>
        <w:spacing w:before="1" w:line="220" w:lineRule="auto"/>
        <w:ind w:left="654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6"/>
          <w:sz w:val="29"/>
          <w:szCs w:val="29"/>
        </w:rPr>
        <w:t>市、州主管部门要及时指导、进行现场核查，省商务厅及</w:t>
      </w:r>
    </w:p>
    <w:p w14:paraId="2C11BD24">
      <w:pPr>
        <w:spacing w:line="220" w:lineRule="auto"/>
        <w:rPr>
          <w:rFonts w:ascii="仿宋" w:hAnsi="仿宋" w:eastAsia="仿宋" w:cs="仿宋"/>
          <w:sz w:val="29"/>
          <w:szCs w:val="29"/>
        </w:rPr>
        <w:sectPr>
          <w:footerReference r:id="rId7" w:type="default"/>
          <w:pgSz w:w="11900" w:h="16830"/>
          <w:pgMar w:top="497" w:right="989" w:bottom="2557" w:left="1785" w:header="0" w:footer="2257" w:gutter="0"/>
          <w:cols w:space="720" w:num="1"/>
        </w:sectPr>
      </w:pPr>
    </w:p>
    <w:p w14:paraId="7656E94F">
      <w:pPr>
        <w:spacing w:before="42" w:line="188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3</w:t>
      </w:r>
    </w:p>
    <w:p w14:paraId="771A50BE">
      <w:pPr>
        <w:pStyle w:val="2"/>
        <w:spacing w:line="297" w:lineRule="auto"/>
      </w:pPr>
    </w:p>
    <w:p w14:paraId="5B6463C2">
      <w:pPr>
        <w:pStyle w:val="2"/>
        <w:spacing w:line="297" w:lineRule="auto"/>
      </w:pPr>
    </w:p>
    <w:p w14:paraId="1AADBA71">
      <w:pPr>
        <w:spacing w:before="97" w:line="220" w:lineRule="auto"/>
        <w:ind w:left="10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时指导、督办，并进行复查。</w:t>
      </w:r>
    </w:p>
    <w:p w14:paraId="133D1AF6">
      <w:pPr>
        <w:spacing w:before="153" w:line="307" w:lineRule="auto"/>
        <w:ind w:left="1060" w:right="80" w:firstLine="6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不定期核查由市、州主管部门参照定期核查的相关规定具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体组织实施。</w:t>
      </w:r>
    </w:p>
    <w:p w14:paraId="356C0149">
      <w:pPr>
        <w:spacing w:line="222" w:lineRule="auto"/>
        <w:ind w:left="17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3"/>
          <w:sz w:val="30"/>
          <w:szCs w:val="30"/>
        </w:rPr>
        <w:t>第七条</w:t>
      </w:r>
      <w:r>
        <w:rPr>
          <w:rFonts w:ascii="仿宋" w:hAnsi="仿宋" w:eastAsia="仿宋" w:cs="仿宋"/>
          <w:spacing w:val="1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定期核查的主要内容</w:t>
      </w:r>
    </w:p>
    <w:p w14:paraId="315841F5">
      <w:pPr>
        <w:spacing w:before="143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0"/>
          <w:sz w:val="30"/>
          <w:szCs w:val="30"/>
        </w:rPr>
        <w:t>(一)拍卖企业证、照情况；</w:t>
      </w:r>
    </w:p>
    <w:p w14:paraId="69EF6833">
      <w:pPr>
        <w:spacing w:before="127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(二)拍卖企业各位出资人及出资比例情况；</w:t>
      </w:r>
    </w:p>
    <w:p w14:paraId="249ED1EF">
      <w:pPr>
        <w:spacing w:before="148" w:line="266" w:lineRule="auto"/>
        <w:ind w:left="1060" w:right="80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(三)拍卖企业注册登记项目情况，包括企业名称、注册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资本、法定代表人和法定地址；</w:t>
      </w:r>
    </w:p>
    <w:p w14:paraId="63A009A5">
      <w:pPr>
        <w:spacing w:before="119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(四)拍卖企业经营场所及设施情况；</w:t>
      </w:r>
    </w:p>
    <w:p w14:paraId="553EF3FF">
      <w:pPr>
        <w:spacing w:before="149" w:line="261" w:lineRule="auto"/>
        <w:ind w:left="1060" w:right="71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(五)拍卖企业人事(含劳动用工)、财务、业务、安全等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管理制度建设情况；</w:t>
      </w:r>
    </w:p>
    <w:p w14:paraId="1D34DFCF">
      <w:pPr>
        <w:spacing w:before="132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(六)拍卖企业档案规范管理情况；</w:t>
      </w:r>
    </w:p>
    <w:p w14:paraId="0101CA10">
      <w:pPr>
        <w:spacing w:before="129" w:line="259" w:lineRule="auto"/>
        <w:ind w:left="1060" w:right="80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(七)拍卖企业从业人员持证上岗情况，从业人员特别是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拍卖师是否存在登记注册单位和工作单位不一致的情况；</w:t>
      </w:r>
    </w:p>
    <w:p w14:paraId="3FD21ED9">
      <w:pPr>
        <w:spacing w:before="138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6"/>
          <w:sz w:val="30"/>
          <w:szCs w:val="30"/>
        </w:rPr>
        <w:t>(八)拍卖企业拍卖经营活动情况；</w:t>
      </w:r>
    </w:p>
    <w:p w14:paraId="6FBE55BD">
      <w:pPr>
        <w:spacing w:before="130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(九)拍卖企业依法纳税情况；</w:t>
      </w:r>
    </w:p>
    <w:p w14:paraId="0A88A5DD">
      <w:pPr>
        <w:spacing w:before="146" w:line="272" w:lineRule="auto"/>
        <w:ind w:left="1060" w:right="81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(十)拍卖企业拍卖经营活动备案和信息报表工作完成情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8"/>
          <w:sz w:val="30"/>
          <w:szCs w:val="30"/>
        </w:rPr>
        <w:t>况；</w:t>
      </w:r>
    </w:p>
    <w:p w14:paraId="183F23AF">
      <w:pPr>
        <w:spacing w:before="125" w:line="263" w:lineRule="auto"/>
        <w:ind w:left="1060" w:right="77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(十一)拍卖企业参加商务主管部门和拍卖行业协会组织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活动的情况；</w:t>
      </w:r>
    </w:p>
    <w:p w14:paraId="2559F736">
      <w:pPr>
        <w:spacing w:before="137" w:line="222" w:lineRule="auto"/>
        <w:ind w:left="18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7"/>
          <w:sz w:val="30"/>
          <w:szCs w:val="30"/>
        </w:rPr>
        <w:t>(十二)其他需要核查的事项。</w:t>
      </w:r>
    </w:p>
    <w:p w14:paraId="28BD4FDE">
      <w:pPr>
        <w:spacing w:before="127" w:line="233" w:lineRule="auto"/>
        <w:ind w:left="1714"/>
        <w:rPr>
          <w:rFonts w:ascii="仿宋" w:hAnsi="仿宋" w:eastAsia="仿宋" w:cs="仿宋"/>
          <w:sz w:val="30"/>
          <w:szCs w:val="30"/>
        </w:rPr>
      </w:pPr>
      <w:r>
        <w:rPr>
          <w:rFonts w:ascii="STXingkai" w:hAnsi="STXingkai" w:eastAsia="STXingkai" w:cs="STXingkai"/>
          <w:b/>
          <w:bCs/>
          <w:spacing w:val="4"/>
          <w:sz w:val="30"/>
          <w:szCs w:val="30"/>
        </w:rPr>
        <w:t>第八条</w:t>
      </w:r>
      <w:r>
        <w:rPr>
          <w:rFonts w:ascii="STXingkai" w:hAnsi="STXingkai" w:eastAsia="STXingkai" w:cs="STXingkai"/>
          <w:spacing w:val="24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4"/>
          <w:sz w:val="30"/>
          <w:szCs w:val="30"/>
        </w:rPr>
        <w:t>定期核查的基本程序：</w:t>
      </w:r>
    </w:p>
    <w:p w14:paraId="4DF3E7F7">
      <w:pPr>
        <w:spacing w:before="88" w:line="263" w:lineRule="auto"/>
        <w:ind w:left="1060" w:right="81" w:firstLine="7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(一)拍卖企业自查，向市、州主管部门提交经营资格核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查报告书和有关材料；</w:t>
      </w:r>
    </w:p>
    <w:p w14:paraId="6657DAE9">
      <w:pPr>
        <w:spacing w:before="143" w:line="220" w:lineRule="auto"/>
        <w:jc w:val="right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(二)各市、州主管部门进行初步审查，并提交综合报告；</w:t>
      </w:r>
    </w:p>
    <w:p w14:paraId="549537DC">
      <w:pPr>
        <w:spacing w:line="220" w:lineRule="auto"/>
        <w:rPr>
          <w:rFonts w:ascii="仿宋" w:hAnsi="仿宋" w:eastAsia="仿宋" w:cs="仿宋"/>
          <w:sz w:val="30"/>
          <w:szCs w:val="30"/>
        </w:rPr>
        <w:sectPr>
          <w:footerReference r:id="rId8" w:type="default"/>
          <w:pgSz w:w="11900" w:h="16830"/>
          <w:pgMar w:top="1239" w:right="1710" w:bottom="1727" w:left="629" w:header="0" w:footer="1427" w:gutter="0"/>
          <w:cols w:space="720" w:num="1"/>
        </w:sectPr>
      </w:pPr>
    </w:p>
    <w:p w14:paraId="025A3BEE">
      <w:pPr>
        <w:spacing w:before="60" w:line="234" w:lineRule="auto"/>
        <w:jc w:val="right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87"/>
          <w:sz w:val="30"/>
          <w:szCs w:val="30"/>
        </w:rPr>
        <w:t>ψ</w:t>
      </w:r>
    </w:p>
    <w:p w14:paraId="5D47F1B5">
      <w:pPr>
        <w:pStyle w:val="2"/>
        <w:spacing w:line="348" w:lineRule="auto"/>
      </w:pPr>
    </w:p>
    <w:p w14:paraId="51A92AC8">
      <w:pPr>
        <w:pStyle w:val="2"/>
        <w:spacing w:line="349" w:lineRule="auto"/>
      </w:pPr>
    </w:p>
    <w:p w14:paraId="14333FDA">
      <w:pPr>
        <w:spacing w:before="97" w:line="220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(三)省商务厅审查并发文通报年度核查结果；</w:t>
      </w:r>
    </w:p>
    <w:p w14:paraId="16FFD5CE">
      <w:pPr>
        <w:spacing w:before="130" w:line="253" w:lineRule="auto"/>
        <w:ind w:left="225" w:right="1205" w:firstLine="6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(四)定期核查结果将由省商务厅或各市、州主管部门在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主要新闻媒体上予以公告。</w:t>
      </w:r>
    </w:p>
    <w:p w14:paraId="25A965DE">
      <w:pPr>
        <w:spacing w:before="159" w:line="220" w:lineRule="auto"/>
        <w:ind w:left="8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第九条</w:t>
      </w:r>
      <w:r>
        <w:rPr>
          <w:rFonts w:ascii="仿宋" w:hAnsi="仿宋" w:eastAsia="仿宋" w:cs="仿宋"/>
          <w:spacing w:val="1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定期核查，拍卖企业须提交下列资料：</w:t>
      </w:r>
    </w:p>
    <w:p w14:paraId="0E568A7B">
      <w:pPr>
        <w:spacing w:before="127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(一)年度核查报告书；</w:t>
      </w:r>
    </w:p>
    <w:p w14:paraId="043B3B28">
      <w:pPr>
        <w:spacing w:before="159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(二)《拍卖经营批准证书》正、副本；</w:t>
      </w:r>
    </w:p>
    <w:p w14:paraId="1C769E24">
      <w:pPr>
        <w:spacing w:before="87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(三)《营业执照》的副本及复印件；</w:t>
      </w:r>
    </w:p>
    <w:p w14:paraId="7472543A">
      <w:pPr>
        <w:spacing w:before="129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(四)拍卖师执业资格证书原件及复印件；</w:t>
      </w:r>
    </w:p>
    <w:p w14:paraId="397A4C28">
      <w:pPr>
        <w:spacing w:before="129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(五)拍卖业从业资格证书原件及复印件；</w:t>
      </w:r>
    </w:p>
    <w:p w14:paraId="48807380">
      <w:pPr>
        <w:spacing w:before="132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(六)经合法会计师事务所审计的年度会计报表；</w:t>
      </w:r>
    </w:p>
    <w:p w14:paraId="3A89625D">
      <w:pPr>
        <w:spacing w:before="99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(七)营业纳税证明；</w:t>
      </w:r>
    </w:p>
    <w:p w14:paraId="068E618E">
      <w:pPr>
        <w:spacing w:before="125" w:line="220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(八)其他应当提交的材料。</w:t>
      </w:r>
    </w:p>
    <w:p w14:paraId="412FA2FD">
      <w:pPr>
        <w:spacing w:before="122" w:line="272" w:lineRule="auto"/>
        <w:ind w:left="155" w:right="1204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第十条</w:t>
      </w:r>
      <w:r>
        <w:rPr>
          <w:rFonts w:ascii="仿宋" w:hAnsi="仿宋" w:eastAsia="仿宋" w:cs="仿宋"/>
          <w:spacing w:val="1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在核查期间，商务主管部门可以根据具体情况要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求拍卖企业提交有关补充材料和有关文件，也可以要求企业法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定代表人到场说明情况。</w:t>
      </w:r>
    </w:p>
    <w:p w14:paraId="7A10C331">
      <w:pPr>
        <w:spacing w:before="134" w:line="257" w:lineRule="auto"/>
        <w:ind w:left="155" w:right="1202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第十一条</w:t>
      </w:r>
      <w:r>
        <w:rPr>
          <w:rFonts w:ascii="仿宋" w:hAnsi="仿宋" w:eastAsia="仿宋" w:cs="仿宋"/>
          <w:spacing w:val="1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对有下列情况之一的拍卖企业，暂缓通过年度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核查，限期三个月整改。</w:t>
      </w:r>
    </w:p>
    <w:p w14:paraId="06D05ACA">
      <w:pPr>
        <w:spacing w:before="150" w:line="222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(一)各项证、照不全或过期的；</w:t>
      </w:r>
    </w:p>
    <w:p w14:paraId="626D34C7">
      <w:pPr>
        <w:spacing w:before="116" w:line="221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(二)出资人及出资比例与核(换)发批准证书</w:t>
      </w:r>
      <w:r>
        <w:rPr>
          <w:rFonts w:ascii="仿宋" w:hAnsi="仿宋" w:eastAsia="仿宋" w:cs="仿宋"/>
          <w:spacing w:val="1"/>
          <w:sz w:val="30"/>
          <w:szCs w:val="30"/>
        </w:rPr>
        <w:t>时不相符的；</w:t>
      </w:r>
    </w:p>
    <w:p w14:paraId="1386DF86">
      <w:pPr>
        <w:spacing w:before="141" w:line="221" w:lineRule="auto"/>
        <w:ind w:left="88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(三)经营场所及其规模不符合要求的；</w:t>
      </w:r>
    </w:p>
    <w:p w14:paraId="74AD065C">
      <w:pPr>
        <w:spacing w:before="132" w:line="253" w:lineRule="auto"/>
        <w:ind w:left="155" w:right="1272" w:firstLine="6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(四)人事(含劳动用工)、财务、业务、安全等管理</w:t>
      </w:r>
      <w:r>
        <w:rPr>
          <w:rFonts w:ascii="仿宋" w:hAnsi="仿宋" w:eastAsia="仿宋" w:cs="仿宋"/>
          <w:spacing w:val="10"/>
          <w:sz w:val="30"/>
          <w:szCs w:val="30"/>
        </w:rPr>
        <w:t>制度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未落实或不健全的；</w:t>
      </w:r>
    </w:p>
    <w:p w14:paraId="52068631">
      <w:pPr>
        <w:spacing w:before="139" w:line="222" w:lineRule="auto"/>
        <w:ind w:left="82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(五)拍卖企业业务活动档案未建立或不规范的；</w:t>
      </w:r>
    </w:p>
    <w:p w14:paraId="14A26DD0">
      <w:pPr>
        <w:spacing w:before="139" w:line="222" w:lineRule="auto"/>
        <w:ind w:left="82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(六)拍卖企业员工持证上岗未达标的；</w:t>
      </w:r>
    </w:p>
    <w:p w14:paraId="7CF59B0D">
      <w:pPr>
        <w:spacing w:before="137" w:line="221" w:lineRule="auto"/>
        <w:ind w:left="82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(七)有商务部《拍卖管理办法》第三十条规定行为</w:t>
      </w:r>
      <w:r>
        <w:rPr>
          <w:rFonts w:ascii="仿宋" w:hAnsi="仿宋" w:eastAsia="仿宋" w:cs="仿宋"/>
          <w:spacing w:val="7"/>
          <w:sz w:val="30"/>
          <w:szCs w:val="30"/>
        </w:rPr>
        <w:t>的；</w:t>
      </w:r>
    </w:p>
    <w:p w14:paraId="6702B79B"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footerReference r:id="rId9" w:type="default"/>
          <w:pgSz w:w="11900" w:h="16830"/>
          <w:pgMar w:top="736" w:right="531" w:bottom="2297" w:left="1785" w:header="0" w:footer="1999" w:gutter="0"/>
          <w:cols w:space="720" w:num="1"/>
        </w:sectPr>
      </w:pPr>
    </w:p>
    <w:p w14:paraId="37D6B415">
      <w:pPr>
        <w:pStyle w:val="2"/>
        <w:spacing w:line="357" w:lineRule="auto"/>
      </w:pPr>
    </w:p>
    <w:p w14:paraId="6432FEEE">
      <w:pPr>
        <w:pStyle w:val="2"/>
        <w:spacing w:line="358" w:lineRule="auto"/>
      </w:pPr>
    </w:p>
    <w:p w14:paraId="7A3E27F7">
      <w:pPr>
        <w:spacing w:before="98" w:line="281" w:lineRule="auto"/>
        <w:ind w:right="236" w:firstLine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2"/>
          <w:sz w:val="30"/>
          <w:szCs w:val="30"/>
        </w:rPr>
        <w:t>(八)拍卖企业所属拍卖师、从业资格人员在经营</w:t>
      </w:r>
      <w:r>
        <w:rPr>
          <w:rFonts w:ascii="仿宋" w:hAnsi="仿宋" w:eastAsia="仿宋" w:cs="仿宋"/>
          <w:spacing w:val="11"/>
          <w:sz w:val="30"/>
          <w:szCs w:val="30"/>
        </w:rPr>
        <w:t>活动中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有违规违法行为的。包括：双方单位未签署协议</w:t>
      </w:r>
      <w:r>
        <w:rPr>
          <w:rFonts w:ascii="仿宋" w:hAnsi="仿宋" w:eastAsia="仿宋" w:cs="仿宋"/>
          <w:spacing w:val="3"/>
          <w:sz w:val="30"/>
          <w:szCs w:val="30"/>
        </w:rPr>
        <w:t>，未联合发布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拍卖公告；擅自临时聘请非本企业拍卖师主拍或企业</w:t>
      </w:r>
      <w:r>
        <w:rPr>
          <w:rFonts w:ascii="仿宋" w:hAnsi="仿宋" w:eastAsia="仿宋" w:cs="仿宋"/>
          <w:spacing w:val="3"/>
          <w:sz w:val="30"/>
          <w:szCs w:val="30"/>
        </w:rPr>
        <w:t>所属拍卖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师私自走穴的情况；拍卖师是否存在注册单位和工作单位不一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致的情况；</w:t>
      </w:r>
    </w:p>
    <w:p w14:paraId="718DBF8A">
      <w:pPr>
        <w:spacing w:before="158" w:line="256" w:lineRule="auto"/>
        <w:ind w:right="260" w:firstLine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(九)拍卖企业无拍卖师或唯一一名所属拍卖师被暂</w:t>
      </w:r>
      <w:r>
        <w:rPr>
          <w:rFonts w:ascii="仿宋" w:hAnsi="仿宋" w:eastAsia="仿宋" w:cs="仿宋"/>
          <w:spacing w:val="10"/>
          <w:sz w:val="30"/>
          <w:szCs w:val="30"/>
        </w:rPr>
        <w:t>停执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业资格，仍然开展拍卖活动的；</w:t>
      </w:r>
    </w:p>
    <w:p w14:paraId="5D6A36AE">
      <w:pPr>
        <w:spacing w:before="126" w:line="222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(十)拍卖企业开展拍卖活动未报送商务主管部门备案的；</w:t>
      </w:r>
    </w:p>
    <w:p w14:paraId="404D4E34">
      <w:pPr>
        <w:spacing w:before="119" w:line="222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(十一)连续3个月未报送报表、拍卖活动信息的；</w:t>
      </w:r>
    </w:p>
    <w:p w14:paraId="738E0493">
      <w:pPr>
        <w:spacing w:before="118" w:line="221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(十二)其他违反法律法规的行为。</w:t>
      </w:r>
    </w:p>
    <w:p w14:paraId="0786CF22">
      <w:pPr>
        <w:spacing w:before="154" w:line="296" w:lineRule="auto"/>
        <w:ind w:right="245" w:firstLine="63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第十二条</w:t>
      </w:r>
      <w:r>
        <w:rPr>
          <w:rFonts w:ascii="仿宋" w:hAnsi="仿宋" w:eastAsia="仿宋" w:cs="仿宋"/>
          <w:spacing w:val="13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有下列情形之一的，省商务厅将撤销拍卖企业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及分公司设立的许可决定，由所在地商务主管部门收回拍卖经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</w:rPr>
        <w:t>营批准证书。</w:t>
      </w:r>
    </w:p>
    <w:p w14:paraId="352AB17C">
      <w:pPr>
        <w:spacing w:before="3" w:line="221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(一)符合商务部《拍卖管理办法》五十五条规定情</w:t>
      </w:r>
      <w:r>
        <w:rPr>
          <w:rFonts w:ascii="仿宋" w:hAnsi="仿宋" w:eastAsia="仿宋" w:cs="仿宋"/>
          <w:spacing w:val="1"/>
          <w:sz w:val="30"/>
          <w:szCs w:val="30"/>
        </w:rPr>
        <w:t>形的；</w:t>
      </w:r>
    </w:p>
    <w:p w14:paraId="322F2F4F">
      <w:pPr>
        <w:spacing w:before="114" w:line="222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(二)三个月整改期满，仍未达到要求的；</w:t>
      </w:r>
    </w:p>
    <w:p w14:paraId="0727DBAC">
      <w:pPr>
        <w:spacing w:before="135" w:line="263" w:lineRule="auto"/>
        <w:ind w:right="262" w:firstLine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(三)本年度是连续第三次在年度核查中受到省商务</w:t>
      </w:r>
      <w:r>
        <w:rPr>
          <w:rFonts w:ascii="仿宋" w:hAnsi="仿宋" w:eastAsia="仿宋" w:cs="仿宋"/>
          <w:spacing w:val="-2"/>
          <w:sz w:val="30"/>
          <w:szCs w:val="30"/>
        </w:rPr>
        <w:t>厅“暂</w:t>
      </w:r>
      <w:r>
        <w:rPr>
          <w:rFonts w:ascii="仿宋" w:hAnsi="仿宋" w:eastAsia="仿宋" w:cs="仿宋"/>
          <w:sz w:val="30"/>
          <w:szCs w:val="30"/>
        </w:rPr>
        <w:t xml:space="preserve"> 缓通过年度核查，限期三个月整改”处罚的；</w:t>
      </w:r>
    </w:p>
    <w:p w14:paraId="0F9FC6BE">
      <w:pPr>
        <w:spacing w:before="93" w:line="275" w:lineRule="auto"/>
        <w:ind w:right="254" w:firstLine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(四)未经省商务厅核准，在本年度内擅自先到工商部门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变更名称、股权、注册资本、法定代表人和法定地址，甚至擅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自设立分支机构(含办事处),并且领取了营业执照的；</w:t>
      </w:r>
    </w:p>
    <w:p w14:paraId="2321CB23">
      <w:pPr>
        <w:spacing w:before="136" w:line="222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(五)拍卖师空缺的；</w:t>
      </w:r>
    </w:p>
    <w:p w14:paraId="61E043B6">
      <w:pPr>
        <w:spacing w:before="109" w:line="262" w:lineRule="auto"/>
        <w:ind w:right="254" w:firstLine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1"/>
          <w:sz w:val="30"/>
          <w:szCs w:val="30"/>
        </w:rPr>
        <w:t>(六)成立后六个月未开业，或开业后连续六个月无正当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理由未举办拍卖会或没有营业纳税证明的；</w:t>
      </w:r>
    </w:p>
    <w:p w14:paraId="529C8217">
      <w:pPr>
        <w:spacing w:before="126" w:line="222" w:lineRule="auto"/>
        <w:ind w:left="7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(七)逾期不参加年度核查，未能提供确实可信原因的。</w:t>
      </w:r>
    </w:p>
    <w:p w14:paraId="13CB5AD3">
      <w:pPr>
        <w:spacing w:before="127" w:line="219" w:lineRule="auto"/>
        <w:ind w:left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9"/>
          <w:sz w:val="30"/>
          <w:szCs w:val="30"/>
        </w:rPr>
        <w:t>第十三条</w:t>
      </w:r>
      <w:r>
        <w:rPr>
          <w:rFonts w:ascii="仿宋" w:hAnsi="仿宋" w:eastAsia="仿宋" w:cs="仿宋"/>
          <w:spacing w:val="1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拍卖企业无正当理由必须在次年1月10日前报</w:t>
      </w:r>
    </w:p>
    <w:p w14:paraId="1DE38643">
      <w:pPr>
        <w:spacing w:line="219" w:lineRule="auto"/>
        <w:rPr>
          <w:rFonts w:ascii="仿宋" w:hAnsi="仿宋" w:eastAsia="仿宋" w:cs="仿宋"/>
          <w:sz w:val="30"/>
          <w:szCs w:val="30"/>
        </w:rPr>
        <w:sectPr>
          <w:footerReference r:id="rId10" w:type="default"/>
          <w:pgSz w:w="11900" w:h="16830"/>
          <w:pgMar w:top="1430" w:right="1785" w:bottom="2030" w:left="1650" w:header="0" w:footer="1756" w:gutter="0"/>
          <w:cols w:space="720" w:num="1"/>
        </w:sectPr>
      </w:pPr>
    </w:p>
    <w:p w14:paraId="30499F13">
      <w:pPr>
        <w:spacing w:before="30" w:line="188" w:lineRule="auto"/>
        <w:jc w:val="right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0"/>
          <w:sz w:val="22"/>
          <w:szCs w:val="22"/>
        </w:rPr>
        <w:t>6</w:t>
      </w:r>
    </w:p>
    <w:p w14:paraId="5723B2CD">
      <w:pPr>
        <w:pStyle w:val="2"/>
        <w:spacing w:line="284" w:lineRule="auto"/>
      </w:pPr>
    </w:p>
    <w:p w14:paraId="00D1C886">
      <w:pPr>
        <w:pStyle w:val="2"/>
        <w:spacing w:line="284" w:lineRule="auto"/>
      </w:pPr>
    </w:p>
    <w:p w14:paraId="523C0980">
      <w:pPr>
        <w:pStyle w:val="2"/>
        <w:spacing w:line="284" w:lineRule="auto"/>
      </w:pPr>
    </w:p>
    <w:p w14:paraId="56966026">
      <w:pPr>
        <w:pStyle w:val="2"/>
        <w:spacing w:line="285" w:lineRule="auto"/>
      </w:pPr>
    </w:p>
    <w:p w14:paraId="79E31651">
      <w:pPr>
        <w:spacing w:before="97" w:line="220" w:lineRule="auto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送年度核查材料，逾期各市(州)主管部门可</w:t>
      </w:r>
      <w:r>
        <w:rPr>
          <w:rFonts w:ascii="仿宋" w:hAnsi="仿宋" w:eastAsia="仿宋" w:cs="仿宋"/>
          <w:spacing w:val="-3"/>
          <w:sz w:val="30"/>
          <w:szCs w:val="30"/>
        </w:rPr>
        <w:t>以视为不合格上报。</w:t>
      </w:r>
    </w:p>
    <w:p w14:paraId="19FDB99D">
      <w:pPr>
        <w:spacing w:before="128" w:line="287" w:lineRule="auto"/>
        <w:ind w:right="1124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6"/>
          <w:sz w:val="30"/>
          <w:szCs w:val="30"/>
        </w:rPr>
        <w:t>第十四条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6"/>
          <w:sz w:val="30"/>
          <w:szCs w:val="30"/>
        </w:rPr>
        <w:t>年度核查结果通报在次年3月20前由省商务厅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出具。合格的和经整改合格的，省商务厅将在《拍卖经营批准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证书》副本上签署“合格”印章，由各市、州主管</w:t>
      </w:r>
      <w:r>
        <w:rPr>
          <w:rFonts w:ascii="仿宋" w:hAnsi="仿宋" w:eastAsia="仿宋" w:cs="仿宋"/>
          <w:spacing w:val="1"/>
          <w:sz w:val="30"/>
          <w:szCs w:val="30"/>
        </w:rPr>
        <w:t>部门领取，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连同正本及时下发各企业。限期三个月整改的，各市(州)主管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部门要及时通知企业整改。整改期满，各市(州)主管部门务必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在七个工作日内出具整改结果的报告。逾期不报的，整改企业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将被视为年度核查不合格，并将结果再次通报相关部门，同时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提请工商部门吊销营业执照。</w:t>
      </w:r>
    </w:p>
    <w:p w14:paraId="256C0442">
      <w:pPr>
        <w:spacing w:before="171" w:line="255" w:lineRule="auto"/>
        <w:ind w:right="1122" w:firstLine="6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第十五条</w:t>
      </w:r>
      <w:r>
        <w:rPr>
          <w:rFonts w:ascii="仿宋" w:hAnsi="仿宋" w:eastAsia="仿宋" w:cs="仿宋"/>
          <w:spacing w:val="1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拍卖企业所在地的商务主管部门必须加强日常</w:t>
      </w:r>
      <w:r>
        <w:rPr>
          <w:rFonts w:ascii="仿宋" w:hAnsi="仿宋" w:eastAsia="仿宋" w:cs="仿宋"/>
          <w:sz w:val="30"/>
          <w:szCs w:val="30"/>
        </w:rPr>
        <w:t xml:space="preserve"> 的监督核查工作，确保年度核查材料的真实有效。</w:t>
      </w:r>
    </w:p>
    <w:p w14:paraId="40B49CDA">
      <w:pPr>
        <w:spacing w:before="127" w:line="260" w:lineRule="auto"/>
        <w:ind w:right="1110" w:firstLine="6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第十六条</w:t>
      </w:r>
      <w:r>
        <w:rPr>
          <w:rFonts w:ascii="仿宋" w:hAnsi="仿宋" w:eastAsia="仿宋" w:cs="仿宋"/>
          <w:spacing w:val="1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拍卖企业未参加年度核查的，不得继续从事拍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卖经营活动。</w:t>
      </w:r>
    </w:p>
    <w:p w14:paraId="73C5B382">
      <w:pPr>
        <w:spacing w:before="120" w:line="261" w:lineRule="auto"/>
        <w:ind w:right="1104" w:firstLine="6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第十七条</w:t>
      </w:r>
      <w:r>
        <w:rPr>
          <w:rFonts w:ascii="仿宋" w:hAnsi="仿宋" w:eastAsia="仿宋" w:cs="仿宋"/>
          <w:spacing w:val="1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拍卖企业在年度核查中隐瞒真实情况</w:t>
      </w:r>
      <w:r>
        <w:rPr>
          <w:rFonts w:ascii="仿宋" w:hAnsi="仿宋" w:eastAsia="仿宋" w:cs="仿宋"/>
          <w:spacing w:val="4"/>
          <w:sz w:val="30"/>
          <w:szCs w:val="30"/>
        </w:rPr>
        <w:t>，弄虚作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假，责令其限期改正，情节严重的，撤销其继续经</w:t>
      </w:r>
      <w:r>
        <w:rPr>
          <w:rFonts w:ascii="仿宋" w:hAnsi="仿宋" w:eastAsia="仿宋" w:cs="仿宋"/>
          <w:spacing w:val="1"/>
          <w:sz w:val="30"/>
          <w:szCs w:val="30"/>
        </w:rPr>
        <w:t>营的资格。</w:t>
      </w:r>
    </w:p>
    <w:p w14:paraId="0AF4E314">
      <w:pPr>
        <w:spacing w:before="113" w:line="276" w:lineRule="auto"/>
        <w:ind w:right="1103" w:firstLine="6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第十八条</w:t>
      </w:r>
      <w:r>
        <w:rPr>
          <w:rFonts w:ascii="仿宋" w:hAnsi="仿宋" w:eastAsia="仿宋" w:cs="仿宋"/>
          <w:spacing w:val="1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商务主管部门工作人员在年度核查工作中，获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知有关拍卖活动各方当事人要求保密的内容，应当按保密规定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为其保密，造成泄密的，按有关规定处理。拍</w:t>
      </w:r>
      <w:r>
        <w:rPr>
          <w:rFonts w:ascii="仿宋" w:hAnsi="仿宋" w:eastAsia="仿宋" w:cs="仿宋"/>
          <w:spacing w:val="3"/>
          <w:sz w:val="30"/>
          <w:szCs w:val="30"/>
        </w:rPr>
        <w:t>卖企业认为向管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1"/>
          <w:sz w:val="30"/>
          <w:szCs w:val="30"/>
        </w:rPr>
        <w:t>理机关报送的材料有保密内容的，应注明“保密”字样并密</w:t>
      </w:r>
      <w:r>
        <w:rPr>
          <w:rFonts w:ascii="仿宋" w:hAnsi="仿宋" w:eastAsia="仿宋" w:cs="仿宋"/>
          <w:spacing w:val="-12"/>
          <w:sz w:val="30"/>
          <w:szCs w:val="30"/>
        </w:rPr>
        <w:t>封。</w:t>
      </w:r>
    </w:p>
    <w:p w14:paraId="4ED8FC57">
      <w:pPr>
        <w:spacing w:before="140" w:line="292" w:lineRule="auto"/>
        <w:ind w:right="1147" w:firstLine="6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第十九条</w:t>
      </w:r>
      <w:r>
        <w:rPr>
          <w:rFonts w:ascii="仿宋" w:hAnsi="仿宋" w:eastAsia="仿宋" w:cs="仿宋"/>
          <w:spacing w:val="-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各市(州)主管部门及其工作人员在拍卖企业经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营资格年度核查工作中不依法依规办事，不按</w:t>
      </w:r>
      <w:r>
        <w:rPr>
          <w:rFonts w:ascii="仿宋" w:hAnsi="仿宋" w:eastAsia="仿宋" w:cs="仿宋"/>
          <w:spacing w:val="2"/>
          <w:sz w:val="30"/>
          <w:szCs w:val="30"/>
        </w:rPr>
        <w:t>时完成核查工作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的，甚至隐瞒真实情况，弄虚作假的，责令其</w:t>
      </w:r>
      <w:r>
        <w:rPr>
          <w:rFonts w:ascii="仿宋" w:hAnsi="仿宋" w:eastAsia="仿宋" w:cs="仿宋"/>
          <w:spacing w:val="2"/>
          <w:sz w:val="30"/>
          <w:szCs w:val="30"/>
        </w:rPr>
        <w:t>限期改正，并由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省商务厅通报全省。情节严重的，按《拍卖管理办法》第五十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六条规定依法处理。</w:t>
      </w:r>
    </w:p>
    <w:p w14:paraId="3DE7BDEB">
      <w:pPr>
        <w:spacing w:before="122" w:line="222" w:lineRule="auto"/>
        <w:ind w:left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第二十条</w:t>
      </w:r>
      <w:r>
        <w:rPr>
          <w:rFonts w:ascii="仿宋" w:hAnsi="仿宋" w:eastAsia="仿宋" w:cs="仿宋"/>
          <w:spacing w:val="13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拍卖企业的年度核查报告书，由省商务厅统一</w:t>
      </w:r>
    </w:p>
    <w:p w14:paraId="18B769B9"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footerReference r:id="rId11" w:type="default"/>
          <w:pgSz w:w="11900" w:h="16830"/>
          <w:pgMar w:top="526" w:right="839" w:bottom="2289" w:left="1720" w:header="0" w:footer="2003" w:gutter="0"/>
          <w:cols w:space="720" w:num="1"/>
        </w:sectPr>
      </w:pPr>
    </w:p>
    <w:p w14:paraId="7E7F6B03">
      <w:pPr>
        <w:pStyle w:val="2"/>
        <w:spacing w:line="250" w:lineRule="auto"/>
      </w:pPr>
    </w:p>
    <w:p w14:paraId="2952AE37">
      <w:pPr>
        <w:pStyle w:val="2"/>
        <w:spacing w:line="250" w:lineRule="auto"/>
      </w:pPr>
    </w:p>
    <w:p w14:paraId="4163BF2F">
      <w:pPr>
        <w:pStyle w:val="2"/>
        <w:spacing w:line="250" w:lineRule="auto"/>
      </w:pPr>
    </w:p>
    <w:p w14:paraId="602F178E">
      <w:pPr>
        <w:spacing w:before="81" w:line="222" w:lineRule="auto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4"/>
          <w:sz w:val="25"/>
          <w:szCs w:val="25"/>
        </w:rPr>
        <w:t>制</w:t>
      </w:r>
      <w:r>
        <w:rPr>
          <w:rFonts w:ascii="仿宋" w:hAnsi="仿宋" w:eastAsia="仿宋" w:cs="仿宋"/>
          <w:spacing w:val="-2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定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4"/>
          <w:sz w:val="25"/>
          <w:szCs w:val="25"/>
        </w:rPr>
        <w:t>。</w:t>
      </w:r>
    </w:p>
    <w:p w14:paraId="58FF9A52">
      <w:pPr>
        <w:spacing w:before="143" w:line="222" w:lineRule="auto"/>
        <w:ind w:left="62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z w:val="31"/>
          <w:szCs w:val="31"/>
        </w:rPr>
        <w:t>第二十一条</w:t>
      </w:r>
      <w:r>
        <w:rPr>
          <w:rFonts w:ascii="仿宋" w:hAnsi="仿宋" w:eastAsia="仿宋" w:cs="仿宋"/>
          <w:spacing w:val="120"/>
          <w:sz w:val="31"/>
          <w:szCs w:val="31"/>
        </w:rPr>
        <w:t xml:space="preserve"> </w:t>
      </w:r>
      <w:r>
        <w:rPr>
          <w:rFonts w:ascii="仿宋" w:hAnsi="仿宋" w:eastAsia="仿宋" w:cs="仿宋"/>
          <w:sz w:val="31"/>
          <w:szCs w:val="31"/>
        </w:rPr>
        <w:t>本办法由省商务厅负责解释。</w:t>
      </w:r>
    </w:p>
    <w:p w14:paraId="077E1A83">
      <w:pPr>
        <w:spacing w:before="133" w:line="221" w:lineRule="auto"/>
        <w:ind w:left="63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0"/>
          <w:sz w:val="31"/>
          <w:szCs w:val="31"/>
        </w:rPr>
        <w:t>第二十二条</w:t>
      </w:r>
      <w:r>
        <w:rPr>
          <w:rFonts w:ascii="仿宋" w:hAnsi="仿宋" w:eastAsia="仿宋" w:cs="仿宋"/>
          <w:spacing w:val="13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本办法自2006年3月1日起施行。</w:t>
      </w:r>
    </w:p>
    <w:sectPr>
      <w:footerReference r:id="rId12" w:type="default"/>
      <w:pgSz w:w="11900" w:h="16830"/>
      <w:pgMar w:top="1430" w:right="1785" w:bottom="1750" w:left="1350" w:header="0" w:footer="147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Xingkai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95B79C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5513070" cy="797560"/>
          <wp:effectExtent l="0" t="0" r="11430" b="2540"/>
          <wp:docPr id="3" name="图片 3" descr="生成页眉页脚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生成页眉页脚 (1)"/>
                  <pic:cNvPicPr>
                    <a:picLocks noChangeAspect="1"/>
                  </pic:cNvPicPr>
                </pic:nvPicPr>
                <pic:blipFill>
                  <a:blip r:embed="rId1"/>
                  <a:srcRect b="72952"/>
                  <a:stretch>
                    <a:fillRect/>
                  </a:stretch>
                </pic:blipFill>
                <pic:spPr>
                  <a:xfrm>
                    <a:off x="0" y="0"/>
                    <a:ext cx="5513070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2066B">
    <w:pPr>
      <w:spacing w:before="1" w:line="232" w:lineRule="auto"/>
      <w:ind w:left="3775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3"/>
        <w:sz w:val="23"/>
        <w:szCs w:val="23"/>
      </w:rPr>
      <w:t>—1—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F497A">
    <w:pPr>
      <w:spacing w:before="1" w:line="232" w:lineRule="auto"/>
      <w:ind w:left="5000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3"/>
        <w:sz w:val="23"/>
        <w:szCs w:val="23"/>
      </w:rPr>
      <w:t>—2—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94943">
    <w:pPr>
      <w:spacing w:line="231" w:lineRule="auto"/>
      <w:ind w:left="3954"/>
      <w:rPr>
        <w:rFonts w:ascii="宋体" w:hAnsi="宋体" w:eastAsia="宋体" w:cs="宋体"/>
        <w:sz w:val="23"/>
        <w:szCs w:val="23"/>
      </w:rPr>
    </w:pPr>
    <w:r>
      <w:rPr>
        <w:rFonts w:ascii="宋体" w:hAnsi="宋体" w:eastAsia="宋体" w:cs="宋体"/>
        <w:spacing w:val="-3"/>
        <w:sz w:val="23"/>
        <w:szCs w:val="23"/>
      </w:rPr>
      <w:t>—3—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8C707">
    <w:pPr>
      <w:spacing w:line="232" w:lineRule="auto"/>
      <w:ind w:left="3679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3"/>
        <w:sz w:val="21"/>
        <w:szCs w:val="21"/>
      </w:rPr>
      <w:t>—4—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B1A15">
    <w:pPr>
      <w:spacing w:line="231" w:lineRule="auto"/>
      <w:ind w:left="3840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spacing w:val="-3"/>
        <w:sz w:val="22"/>
        <w:szCs w:val="22"/>
      </w:rPr>
      <w:t>—5—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0E830D">
    <w:pPr>
      <w:spacing w:line="230" w:lineRule="auto"/>
      <w:ind w:left="3929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3"/>
        <w:sz w:val="21"/>
        <w:szCs w:val="21"/>
      </w:rPr>
      <w:t>—6—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7CC52">
    <w:pPr>
      <w:pStyle w:val="4"/>
    </w:pPr>
    <w:r>
      <w:rPr>
        <w:rFonts w:hint="eastAsia" w:eastAsiaTheme="minorEastAsia"/>
        <w:lang w:eastAsia="zh-CN"/>
      </w:rPr>
      <w:drawing>
        <wp:inline distT="0" distB="0" distL="114300" distR="114300">
          <wp:extent cx="3244850" cy="564515"/>
          <wp:effectExtent l="0" t="0" r="12700" b="6985"/>
          <wp:docPr id="2" name="图片 2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b="64502"/>
                  <a:stretch>
                    <a:fillRect/>
                  </a:stretch>
                </pic:blipFill>
                <pic:spPr>
                  <a:xfrm>
                    <a:off x="0" y="0"/>
                    <a:ext cx="3244850" cy="5645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5118735" cy="91440"/>
          <wp:effectExtent l="0" t="0" r="5715" b="3810"/>
          <wp:docPr id="1" name="图片 1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l="1523" t="85718" r="1028" b="9848"/>
                  <a:stretch>
                    <a:fillRect/>
                  </a:stretch>
                </pic:blipFill>
                <pic:spPr>
                  <a:xfrm>
                    <a:off x="0" y="0"/>
                    <a:ext cx="5118735" cy="91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EF239CF"/>
    <w:rsid w:val="3BAC7A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2770</Words>
  <Characters>2804</Characters>
  <TotalTime>0</TotalTime>
  <ScaleCrop>false</ScaleCrop>
  <LinksUpToDate>false</LinksUpToDate>
  <CharactersWithSpaces>2894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2026-01-28T15:42:00Z</dcterms:created>
  <dc:creator>Administrator</dc:creator>
  <cp:lastModifiedBy>欣心</cp:lastModifiedBy>
  <dcterms:modified xsi:type="dcterms:W3CDTF">2026-01-28T07:54:10Z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2026-01-28T15:42:32Z</vt:filetime>
  </property>
  <property fmtid="{D5CDD505-2E9C-101B-9397-08002B2CF9AE}" pid="4" name="UsrData">
    <vt:lpwstr>6979bde47a3595001ffaa4a3wl</vt:lpwstr>
  </property>
  <property fmtid="{D5CDD505-2E9C-101B-9397-08002B2CF9AE}" pid="5" name="KSOTemplateDocerSaveRecord">
    <vt:lpwstr>eyJoZGlkIjoiMTkxZmVmYzUzYjk5NzJjYzY5YmQ4OTA5YWEyMjBhODAiLCJ1c2VySWQiOiIzMDY0NTA4MzIifQ==</vt:lpwstr>
  </property>
  <property fmtid="{D5CDD505-2E9C-101B-9397-08002B2CF9AE}" pid="6" name="KSOProductBuildVer">
    <vt:lpwstr>2052-12.1.0.19770</vt:lpwstr>
  </property>
  <property fmtid="{D5CDD505-2E9C-101B-9397-08002B2CF9AE}" pid="7" name="ICV">
    <vt:lpwstr>F41AFE96532D4C0C88520F95D13905F4_12</vt:lpwstr>
  </property>
</Properties>
</file>