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E26179">
      <w:pPr>
        <w:spacing w:line="269" w:lineRule="auto"/>
        <w:rPr>
          <w:rFonts w:ascii="Arial"/>
          <w:sz w:val="21"/>
        </w:rPr>
      </w:pPr>
    </w:p>
    <w:p w14:paraId="2BF84109">
      <w:pPr>
        <w:pStyle w:val="2"/>
        <w:spacing w:before="176" w:line="201" w:lineRule="auto"/>
        <w:ind w:left="0" w:leftChars="0" w:right="0" w:rightChars="0" w:firstLine="0" w:firstLineChars="0"/>
        <w:jc w:val="center"/>
        <w:rPr>
          <w:rFonts w:hint="eastAsia" w:ascii="方正小标宋简体" w:hAnsi="方正小标宋简体" w:eastAsia="方正小标宋简体" w:cs="方正小标宋简体"/>
          <w:b/>
          <w:bCs/>
          <w:spacing w:val="20"/>
          <w:w w:val="94"/>
          <w:sz w:val="44"/>
          <w:szCs w:val="44"/>
        </w:rPr>
      </w:pPr>
      <w:bookmarkStart w:id="0" w:name="_GoBack"/>
      <w:r>
        <w:rPr>
          <w:rFonts w:hint="eastAsia" w:ascii="方正小标宋简体" w:hAnsi="方正小标宋简体" w:eastAsia="方正小标宋简体" w:cs="方正小标宋简体"/>
          <w:b/>
          <w:bCs/>
          <w:spacing w:val="20"/>
          <w:w w:val="94"/>
          <w:sz w:val="44"/>
          <w:szCs w:val="44"/>
        </w:rPr>
        <w:t>湖北省商务厅等12部门关于贯彻落实</w:t>
      </w:r>
    </w:p>
    <w:p w14:paraId="1AABD0B7">
      <w:pPr>
        <w:pStyle w:val="2"/>
        <w:spacing w:before="176" w:line="201" w:lineRule="auto"/>
        <w:ind w:left="0" w:leftChars="0" w:right="0" w:rightChars="0" w:firstLine="0" w:firstLineChars="0"/>
        <w:jc w:val="center"/>
        <w:rPr>
          <w:rFonts w:hint="eastAsia"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b/>
          <w:bCs/>
          <w:spacing w:val="20"/>
          <w:w w:val="90"/>
          <w:sz w:val="44"/>
          <w:szCs w:val="44"/>
        </w:rPr>
        <w:t>促进二手车便利交易的通知</w:t>
      </w:r>
    </w:p>
    <w:p w14:paraId="120428D1">
      <w:pPr>
        <w:spacing w:line="272" w:lineRule="auto"/>
        <w:rPr>
          <w:rFonts w:ascii="Arial"/>
          <w:sz w:val="21"/>
        </w:rPr>
      </w:pPr>
    </w:p>
    <w:bookmarkEnd w:id="0"/>
    <w:p w14:paraId="7FF03DC1">
      <w:pPr>
        <w:spacing w:line="273" w:lineRule="auto"/>
        <w:rPr>
          <w:rFonts w:ascii="Arial"/>
          <w:sz w:val="21"/>
        </w:rPr>
      </w:pPr>
    </w:p>
    <w:p w14:paraId="5EFA5402">
      <w:pPr>
        <w:keepNext w:val="0"/>
        <w:keepLines w:val="0"/>
        <w:pageBreakBefore w:val="0"/>
        <w:widowControl/>
        <w:kinsoku w:val="0"/>
        <w:wordWrap/>
        <w:overflowPunct/>
        <w:topLinePunct w:val="0"/>
        <w:autoSpaceDE w:val="0"/>
        <w:autoSpaceDN w:val="0"/>
        <w:bidi w:val="0"/>
        <w:adjustRightInd w:val="0"/>
        <w:snapToGrid w:val="0"/>
        <w:spacing w:line="560" w:lineRule="exact"/>
        <w:ind w:left="80" w:right="-199" w:rightChars="-95"/>
        <w:jc w:val="both"/>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各市、州、直管市、神农架林区商务局(委)、发改委、经信委、公安局、财政局、环保局、交通局、国税局、地税局、工商局、银监分局(直管办)、宜昌保监分局：</w:t>
      </w:r>
    </w:p>
    <w:p w14:paraId="172B62B6">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199" w:rightChars="-95" w:firstLine="637" w:firstLineChars="192"/>
        <w:jc w:val="both"/>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为全面贯彻落实《国务院办公厅关于促进二手车便利交易的若干意见》(国办发〔2016〕13号)和《商务部等11部门办公厅关于促进二手车便利交易加快活跃二手车市场的通知》(商建字〔2016〕8号)精神，促进湖北二手车便利交易，结合我省实际，现将有关事项通知如下：</w:t>
      </w:r>
    </w:p>
    <w:p w14:paraId="3D2EAF07">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70" w:firstLineChars="201"/>
        <w:jc w:val="both"/>
        <w:textAlignment w:val="baseline"/>
        <w:outlineLvl w:val="0"/>
        <w:rPr>
          <w:rFonts w:hint="eastAsia" w:ascii="黑体" w:hAnsi="黑体" w:eastAsia="黑体" w:cs="黑体"/>
          <w:spacing w:val="6"/>
          <w:sz w:val="32"/>
          <w:szCs w:val="32"/>
        </w:rPr>
      </w:pPr>
      <w:r>
        <w:rPr>
          <w:rFonts w:hint="eastAsia" w:ascii="黑体" w:hAnsi="黑体" w:eastAsia="黑体" w:cs="黑体"/>
          <w:b/>
          <w:bCs/>
          <w:spacing w:val="6"/>
          <w:sz w:val="32"/>
          <w:szCs w:val="32"/>
        </w:rPr>
        <w:t>一、推动二手车异地交易</w:t>
      </w:r>
    </w:p>
    <w:p w14:paraId="359A80D9">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199" w:rightChars="-95" w:firstLine="405" w:firstLineChars="0"/>
        <w:jc w:val="both"/>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各地要严格执行《国务院关于禁止在市场经营活动中实行地区封锁的规定》(国务院令303号),不得制定限制二手车迁入政策。已依法注册登记的小微型非营运载客汽车可以在本行政辖区或者拟转入行政辖区经销、买卖、拍卖和经纪。二手车交易市场经营者和二手车经营主体要按照《二手车流通管理办法》,重点审核二手车卖方是否拥有车辆所有权或处置权，确认卖方身份证明、机动车及牌证和税费凭证，按规定出具《二手车销售统一发票》。各地商务、公安、税务、工商等部门不得违反《二手车流通管理办法》,违规增加限制二手车办理交易的条件和限迁政策。各地商务、税务、工商部门要按照职责分工加强对二手车交易市场、二手车经营主体的监督管理，积极引导二手车交易市场经营者、二手车经营主体依法经营，严格取缔无照经营行为，维护市场秩序，保护消费者合法权益。</w:t>
      </w:r>
    </w:p>
    <w:p w14:paraId="3F20E753">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03" w:firstLineChars="211"/>
        <w:jc w:val="both"/>
        <w:textAlignment w:val="baseline"/>
        <w:outlineLvl w:val="0"/>
        <w:rPr>
          <w:rFonts w:hint="eastAsia" w:ascii="黑体" w:hAnsi="黑体" w:eastAsia="黑体" w:cs="黑体"/>
          <w:b/>
          <w:bCs/>
          <w:spacing w:val="6"/>
          <w:sz w:val="32"/>
          <w:szCs w:val="32"/>
        </w:rPr>
      </w:pPr>
      <w:r>
        <w:rPr>
          <w:rFonts w:hint="eastAsia" w:ascii="黑体" w:hAnsi="黑体" w:eastAsia="黑体" w:cs="黑体"/>
          <w:b/>
          <w:bCs/>
          <w:spacing w:val="6"/>
          <w:sz w:val="32"/>
          <w:szCs w:val="32"/>
        </w:rPr>
        <w:t>二、优化二手车交易服务管理</w:t>
      </w:r>
    </w:p>
    <w:p w14:paraId="7DFCC39B">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0" w:firstLineChars="193"/>
        <w:jc w:val="both"/>
        <w:textAlignment w:val="baseline"/>
        <w:outlineLvl w:val="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符合国家在用机动车排放和安全标准，在环保定期检验有效期和年检有效期内的二手车均可办理迁入手续，国家鼓励淘汰和要求淘汰的相关车辆以及大中型客车转入个人名下或转入后变更性质为营转非但无合理使用用途的除外。商务部门要会同公安、税务、工商、保险等部门，选择具备条件的二手车交易市场设立服务窗口或站点，提供二手车交易、纳税、登记和保险一站式服务，推广使用《湖北省二手车买卖合同》示范文本。对异地办理二手车交易的小微型非营运载客汽车，现机动车所有人凭《二手车销售统一发票》及相关资料，可以向交易地公安交通管理部门申请办理转移登记，向转出地公安交通管理部门申请转出车辆档案，不需要将车辆驶回登记地(具体实施时间以公安部门公告为准)。公安交通管理部门要优化服务流程，提高办事效率，快捷办理转移登记业务。</w:t>
      </w:r>
    </w:p>
    <w:p w14:paraId="58576D0F">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86" w:firstLineChars="206"/>
        <w:jc w:val="both"/>
        <w:textAlignment w:val="baseline"/>
        <w:outlineLvl w:val="0"/>
        <w:rPr>
          <w:rFonts w:hint="eastAsia" w:ascii="黑体" w:hAnsi="黑体" w:eastAsia="黑体" w:cs="黑体"/>
          <w:spacing w:val="6"/>
          <w:sz w:val="32"/>
          <w:szCs w:val="32"/>
        </w:rPr>
      </w:pPr>
      <w:r>
        <w:rPr>
          <w:rFonts w:hint="eastAsia" w:ascii="黑体" w:hAnsi="黑体" w:eastAsia="黑体" w:cs="黑体"/>
          <w:b/>
          <w:bCs/>
          <w:spacing w:val="6"/>
          <w:sz w:val="32"/>
          <w:szCs w:val="32"/>
        </w:rPr>
        <w:t>三、</w:t>
      </w:r>
      <w:r>
        <w:rPr>
          <w:rFonts w:hint="eastAsia" w:ascii="黑体" w:hAnsi="黑体" w:eastAsia="黑体" w:cs="黑体"/>
          <w:spacing w:val="6"/>
          <w:sz w:val="32"/>
          <w:szCs w:val="32"/>
        </w:rPr>
        <w:t xml:space="preserve"> </w:t>
      </w:r>
      <w:r>
        <w:rPr>
          <w:rFonts w:hint="eastAsia" w:ascii="黑体" w:hAnsi="黑体" w:eastAsia="黑体" w:cs="黑体"/>
          <w:b/>
          <w:bCs/>
          <w:spacing w:val="6"/>
          <w:sz w:val="32"/>
          <w:szCs w:val="32"/>
        </w:rPr>
        <w:t>认真执行二手车税收征管政策</w:t>
      </w:r>
    </w:p>
    <w:p w14:paraId="0BD96EB0">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200" w:rightChars="0" w:firstLine="640" w:firstLineChars="0"/>
        <w:jc w:val="both"/>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通过二手车交易市场、二手车经销企业、拍卖企业或经纪机构进行二手车交易的，应在以上市场、企业所在地或销售方所在地开具《二手车销售统一发票》。现行政策允许开具且购买方索取增值税专用发票的，销售二手车的一般纳税人可开具增值税专用发票，小规模纳税人可由主管税务机关代开增值税专用发票。税务机关要加强对二手车交易的税收征管。在国家新的二手车交易税收政策出台后，结合全面推开营改增试点工作，按照“统一税制、公平税负、促进公平竞争”的原则，严格税收征管，加强纳税信用的激励和惩戒。</w:t>
      </w:r>
    </w:p>
    <w:p w14:paraId="0C2C5222">
      <w:pPr>
        <w:keepNext w:val="0"/>
        <w:keepLines w:val="0"/>
        <w:pageBreakBefore w:val="0"/>
        <w:widowControl/>
        <w:kinsoku w:val="0"/>
        <w:wordWrap/>
        <w:overflowPunct/>
        <w:topLinePunct w:val="0"/>
        <w:autoSpaceDE w:val="0"/>
        <w:autoSpaceDN w:val="0"/>
        <w:bidi w:val="0"/>
        <w:adjustRightInd w:val="0"/>
        <w:snapToGrid w:val="0"/>
        <w:spacing w:line="560" w:lineRule="exact"/>
        <w:ind w:right="262" w:firstLine="670"/>
        <w:jc w:val="both"/>
        <w:textAlignment w:val="baseline"/>
        <w:rPr>
          <w:rFonts w:hint="eastAsia" w:ascii="黑体" w:hAnsi="黑体" w:eastAsia="黑体" w:cs="黑体"/>
          <w:spacing w:val="6"/>
          <w:sz w:val="32"/>
          <w:szCs w:val="32"/>
        </w:rPr>
      </w:pPr>
      <w:r>
        <w:rPr>
          <w:rFonts w:hint="eastAsia" w:ascii="黑体" w:hAnsi="黑体" w:eastAsia="黑体" w:cs="黑体"/>
          <w:b/>
          <w:bCs/>
          <w:spacing w:val="6"/>
          <w:sz w:val="32"/>
          <w:szCs w:val="32"/>
        </w:rPr>
        <w:t>四、提升二手车金融服务水平</w:t>
      </w:r>
    </w:p>
    <w:p w14:paraId="4B463224">
      <w:pPr>
        <w:keepNext w:val="0"/>
        <w:keepLines w:val="0"/>
        <w:pageBreakBefore w:val="0"/>
        <w:widowControl/>
        <w:kinsoku w:val="0"/>
        <w:wordWrap/>
        <w:overflowPunct/>
        <w:topLinePunct w:val="0"/>
        <w:autoSpaceDE w:val="0"/>
        <w:autoSpaceDN w:val="0"/>
        <w:bidi w:val="0"/>
        <w:adjustRightInd w:val="0"/>
        <w:snapToGrid w:val="0"/>
        <w:spacing w:line="560" w:lineRule="exact"/>
        <w:ind w:left="34" w:leftChars="0" w:firstLine="606" w:firstLineChars="0"/>
        <w:jc w:val="both"/>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各金融业机构要加大二手车交易信贷支持力度，降低信贷门槛，简化信贷手续。经银监会批准经营个人汽车贷款业务的银行机构，要严格贯彻落实中国人民银行、银监会《关于加大对新消费领域金融支持的指导意见》(银发〔2016〕92号),二手车贷款首付比例可在30%最低要求基础上，根据自愿、审慎和风险可控原则自主决定，并在《汽车贷款管理办法》修订完善后，及时执行新的二手车贷款政策。积极鼓励保险公司探索开发二手车质量保证保险、延长保修服务保险等符合二手车交易特点的专属保险产品，不断提高二手车交易保险服务水平。</w:t>
      </w:r>
    </w:p>
    <w:p w14:paraId="19D8498A">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90" w:firstLineChars="207"/>
        <w:jc w:val="both"/>
        <w:textAlignment w:val="baseline"/>
        <w:outlineLvl w:val="0"/>
        <w:rPr>
          <w:rFonts w:hint="eastAsia" w:ascii="黑体" w:hAnsi="黑体" w:eastAsia="黑体" w:cs="黑体"/>
          <w:spacing w:val="6"/>
          <w:sz w:val="32"/>
          <w:szCs w:val="32"/>
        </w:rPr>
      </w:pPr>
      <w:r>
        <w:rPr>
          <w:rFonts w:hint="eastAsia" w:ascii="黑体" w:hAnsi="黑体" w:eastAsia="黑体" w:cs="黑体"/>
          <w:b/>
          <w:bCs/>
          <w:spacing w:val="6"/>
          <w:sz w:val="32"/>
          <w:szCs w:val="32"/>
        </w:rPr>
        <w:t>五、</w:t>
      </w:r>
      <w:r>
        <w:rPr>
          <w:rFonts w:hint="eastAsia" w:ascii="黑体" w:hAnsi="黑体" w:eastAsia="黑体" w:cs="黑体"/>
          <w:spacing w:val="6"/>
          <w:sz w:val="32"/>
          <w:szCs w:val="32"/>
        </w:rPr>
        <w:t xml:space="preserve"> </w:t>
      </w:r>
      <w:r>
        <w:rPr>
          <w:rFonts w:hint="eastAsia" w:ascii="黑体" w:hAnsi="黑体" w:eastAsia="黑体" w:cs="黑体"/>
          <w:b/>
          <w:bCs/>
          <w:spacing w:val="6"/>
          <w:sz w:val="32"/>
          <w:szCs w:val="32"/>
        </w:rPr>
        <w:t>加快推动二手车流通模式创新</w:t>
      </w:r>
    </w:p>
    <w:p w14:paraId="5105A1CF">
      <w:pPr>
        <w:keepNext w:val="0"/>
        <w:keepLines w:val="0"/>
        <w:pageBreakBefore w:val="0"/>
        <w:widowControl/>
        <w:kinsoku w:val="0"/>
        <w:wordWrap/>
        <w:overflowPunct/>
        <w:topLinePunct w:val="0"/>
        <w:autoSpaceDE w:val="0"/>
        <w:autoSpaceDN w:val="0"/>
        <w:bidi w:val="0"/>
        <w:adjustRightInd w:val="0"/>
        <w:snapToGrid w:val="0"/>
        <w:spacing w:line="560" w:lineRule="exact"/>
        <w:ind w:left="34" w:leftChars="0" w:right="-200" w:rightChars="0" w:firstLine="606" w:firstLineChars="0"/>
        <w:jc w:val="both"/>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各地商务、交通运输部门要积极创造条件，推动二手车流通模式创新。引导二手车经销企业开展品牌化、连锁化经营，提升整备、质保等增值服务能力和水平。引导和规范二手车交易企业线上线下融合发展，加强对二手车电子商务的指导和管理，鼓励发展拍卖、以旧换新等交易方式。推动新车销售企业开展二手车经销业务，积极发展二手车置换业务。</w:t>
      </w:r>
    </w:p>
    <w:p w14:paraId="7EB2DA8A">
      <w:pPr>
        <w:keepNext w:val="0"/>
        <w:keepLines w:val="0"/>
        <w:pageBreakBefore w:val="0"/>
        <w:widowControl/>
        <w:kinsoku w:val="0"/>
        <w:wordWrap/>
        <w:overflowPunct/>
        <w:topLinePunct w:val="0"/>
        <w:autoSpaceDE w:val="0"/>
        <w:autoSpaceDN w:val="0"/>
        <w:bidi w:val="0"/>
        <w:adjustRightInd w:val="0"/>
        <w:snapToGrid w:val="0"/>
        <w:spacing w:line="560" w:lineRule="exact"/>
        <w:ind w:left="9" w:leftChars="0" w:firstLine="686" w:firstLineChars="206"/>
        <w:jc w:val="both"/>
        <w:textAlignment w:val="baseline"/>
        <w:outlineLvl w:val="0"/>
        <w:rPr>
          <w:rFonts w:hint="eastAsia" w:ascii="黑体" w:hAnsi="黑体" w:eastAsia="黑体" w:cs="黑体"/>
          <w:spacing w:val="6"/>
          <w:sz w:val="32"/>
          <w:szCs w:val="32"/>
        </w:rPr>
      </w:pPr>
      <w:r>
        <w:rPr>
          <w:rFonts w:hint="eastAsia" w:ascii="黑体" w:hAnsi="黑体" w:eastAsia="黑体" w:cs="黑体"/>
          <w:b/>
          <w:bCs/>
          <w:spacing w:val="6"/>
          <w:sz w:val="32"/>
          <w:szCs w:val="32"/>
        </w:rPr>
        <w:t>六、加快推进二手车交易信息化建设</w:t>
      </w:r>
    </w:p>
    <w:p w14:paraId="0D68B451">
      <w:pPr>
        <w:keepNext w:val="0"/>
        <w:keepLines w:val="0"/>
        <w:pageBreakBefore w:val="0"/>
        <w:widowControl/>
        <w:kinsoku w:val="0"/>
        <w:wordWrap/>
        <w:overflowPunct/>
        <w:topLinePunct w:val="0"/>
        <w:autoSpaceDE w:val="0"/>
        <w:autoSpaceDN w:val="0"/>
        <w:bidi w:val="0"/>
        <w:adjustRightInd w:val="0"/>
        <w:snapToGrid w:val="0"/>
        <w:spacing w:line="560" w:lineRule="exact"/>
        <w:ind w:left="34" w:leftChars="0" w:right="-200" w:rightChars="0" w:firstLine="606" w:firstLineChars="0"/>
        <w:jc w:val="both"/>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在国家二手车流通信息平台下建立与我省相关部门信息对接，覆盖生产、销售、登记、检验、保养、维修、保险、报废等汽车全生命周期的湖北省二手车流通信息体系。根据信息系统功能模块，明确细化有关部门、企业登录机动车所处相关环节信息的责任和要求，以及车主查询、监督信息登录的权利。体系建成后相关部门应尽早完成在用车信息登录工作，为后续各环节信息登录奠定基础。向社会开放二手车流通相关信息，要建立完善保密、隐私性信息封闭制度和措施，对符合国家有关要求的信息服务可以市场化运作，非保密、非隐私性信息和公共信息应向社会公开，实现二手车流通信息开放的可持续和便捷高效。</w:t>
      </w:r>
    </w:p>
    <w:p w14:paraId="4502D5D9">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57" w:firstLineChars="197"/>
        <w:jc w:val="both"/>
        <w:textAlignment w:val="baseline"/>
        <w:outlineLvl w:val="0"/>
        <w:rPr>
          <w:rFonts w:hint="eastAsia" w:ascii="黑体" w:hAnsi="黑体" w:eastAsia="黑体" w:cs="黑体"/>
          <w:spacing w:val="6"/>
          <w:sz w:val="32"/>
          <w:szCs w:val="32"/>
        </w:rPr>
      </w:pPr>
      <w:r>
        <w:rPr>
          <w:rFonts w:hint="eastAsia" w:ascii="黑体" w:hAnsi="黑体" w:eastAsia="黑体" w:cs="黑体"/>
          <w:b/>
          <w:bCs/>
          <w:spacing w:val="6"/>
          <w:sz w:val="32"/>
          <w:szCs w:val="32"/>
        </w:rPr>
        <w:t>七、加强二手车市场主体信用体系建设</w:t>
      </w:r>
    </w:p>
    <w:p w14:paraId="25CBBEEA">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200" w:rightChars="0" w:firstLine="640" w:firstLineChars="0"/>
        <w:jc w:val="both"/>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各地商务、发展改革、环境保护、交通运输、税务、工商、 保险等部门应按照职责范围依法采集二手车交易市场、二手车经营主体，拍卖企业、鉴定评估机构、维修服务企业以及其他相关市场主体的信用信息，逐步建立健全信用记录，及时录入湖北商务信用信息平台和湖北省市场主体信用信息共享交换平台，并按照有关规定在“国家企业信用信息公示系统”以及“信用湖北”、“信用中国”网站予以公开。各地工商、市场监管部门要强化信用监管，严格执法，重点查处虚假宣传、“霸王条款”以及其他侵害消费者权益的行为。要引导行业加强自律，促进市场主体合规经营、守信交易，支持行业协会、二手车交易市场等以适当形式发布市场主体信用相关信息。</w:t>
      </w:r>
    </w:p>
    <w:p w14:paraId="2425C683">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00" w:firstLineChars="210"/>
        <w:jc w:val="both"/>
        <w:textAlignment w:val="baseline"/>
        <w:outlineLvl w:val="0"/>
        <w:rPr>
          <w:rFonts w:hint="eastAsia" w:ascii="黑体" w:hAnsi="黑体" w:eastAsia="黑体" w:cs="黑体"/>
          <w:spacing w:val="6"/>
          <w:sz w:val="32"/>
          <w:szCs w:val="32"/>
        </w:rPr>
      </w:pPr>
      <w:r>
        <w:rPr>
          <w:rFonts w:hint="eastAsia" w:ascii="黑体" w:hAnsi="黑体" w:eastAsia="黑体" w:cs="黑体"/>
          <w:b/>
          <w:bCs/>
          <w:spacing w:val="6"/>
          <w:sz w:val="32"/>
          <w:szCs w:val="32"/>
        </w:rPr>
        <w:t>八、</w:t>
      </w:r>
      <w:r>
        <w:rPr>
          <w:rFonts w:hint="eastAsia" w:ascii="黑体" w:hAnsi="黑体" w:eastAsia="黑体" w:cs="黑体"/>
          <w:spacing w:val="6"/>
          <w:sz w:val="32"/>
          <w:szCs w:val="32"/>
        </w:rPr>
        <w:t xml:space="preserve"> </w:t>
      </w:r>
      <w:r>
        <w:rPr>
          <w:rFonts w:hint="eastAsia" w:ascii="黑体" w:hAnsi="黑体" w:eastAsia="黑体" w:cs="黑体"/>
          <w:b/>
          <w:bCs/>
          <w:spacing w:val="6"/>
          <w:sz w:val="32"/>
          <w:szCs w:val="32"/>
        </w:rPr>
        <w:t>促进部门协同合作</w:t>
      </w:r>
    </w:p>
    <w:p w14:paraId="40F2E816">
      <w:pPr>
        <w:keepNext w:val="0"/>
        <w:keepLines w:val="0"/>
        <w:pageBreakBefore w:val="0"/>
        <w:widowControl/>
        <w:kinsoku w:val="0"/>
        <w:wordWrap/>
        <w:overflowPunct/>
        <w:topLinePunct w:val="0"/>
        <w:autoSpaceDE w:val="0"/>
        <w:autoSpaceDN w:val="0"/>
        <w:bidi w:val="0"/>
        <w:adjustRightInd w:val="0"/>
        <w:snapToGrid w:val="0"/>
        <w:spacing w:line="560" w:lineRule="exact"/>
        <w:ind w:right="-200" w:rightChars="0" w:firstLine="659"/>
        <w:jc w:val="both"/>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各地有关部门要充分认识促进二手车便利交易、活跃二手车市场的重要意义，健全工作机制，加强部门协作配合。要结合各自职能制定具体实施方案，细化政策措施，确保《意见》和《通知》各项政策措施落到实处。要合力推进相关工作，促进二手车交易健康、有序发展。</w:t>
      </w:r>
    </w:p>
    <w:p w14:paraId="04148243">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firstLine="659"/>
        <w:textAlignment w:val="baseline"/>
        <w:rPr>
          <w:rFonts w:hint="eastAsia" w:ascii="仿宋_GB2312" w:hAnsi="仿宋_GB2312" w:eastAsia="仿宋_GB2312" w:cs="仿宋_GB2312"/>
          <w:spacing w:val="6"/>
          <w:sz w:val="32"/>
          <w:szCs w:val="32"/>
        </w:rPr>
      </w:pPr>
    </w:p>
    <w:p w14:paraId="663B7EB9">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firstLine="659"/>
        <w:textAlignment w:val="baseline"/>
        <w:rPr>
          <w:rFonts w:hint="eastAsia" w:ascii="仿宋_GB2312" w:hAnsi="仿宋_GB2312" w:eastAsia="仿宋_GB2312" w:cs="仿宋_GB2312"/>
          <w:spacing w:val="6"/>
          <w:sz w:val="32"/>
          <w:szCs w:val="32"/>
        </w:rPr>
      </w:pPr>
    </w:p>
    <w:p w14:paraId="085E67C9">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firstLine="659"/>
        <w:textAlignment w:val="baseline"/>
        <w:rPr>
          <w:rFonts w:hint="eastAsia" w:ascii="仿宋_GB2312" w:hAnsi="仿宋_GB2312" w:eastAsia="仿宋_GB2312" w:cs="仿宋_GB2312"/>
          <w:spacing w:val="6"/>
          <w:sz w:val="32"/>
          <w:szCs w:val="32"/>
        </w:rPr>
      </w:pPr>
    </w:p>
    <w:p w14:paraId="04857E7A">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jc w:val="center"/>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val="en-US" w:eastAsia="zh-CN"/>
        </w:rPr>
        <w:t xml:space="preserve">   湖北省商务厅        </w:t>
      </w:r>
      <w:r>
        <w:rPr>
          <w:rFonts w:hint="eastAsia" w:ascii="仿宋_GB2312" w:hAnsi="仿宋_GB2312" w:eastAsia="仿宋_GB2312" w:cs="仿宋_GB2312"/>
          <w:spacing w:val="6"/>
          <w:sz w:val="32"/>
          <w:szCs w:val="32"/>
        </w:rPr>
        <w:t>湖北省发展和改革委员会</w:t>
      </w:r>
    </w:p>
    <w:p w14:paraId="2F041420">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jc w:val="center"/>
        <w:textAlignment w:val="baseline"/>
        <w:rPr>
          <w:rFonts w:hint="eastAsia" w:ascii="仿宋_GB2312" w:hAnsi="仿宋_GB2312" w:eastAsia="仿宋_GB2312" w:cs="仿宋_GB2312"/>
          <w:spacing w:val="6"/>
          <w:sz w:val="32"/>
          <w:szCs w:val="32"/>
          <w:lang w:val="en-US" w:eastAsia="zh-CN"/>
        </w:rPr>
      </w:pPr>
    </w:p>
    <w:p w14:paraId="7B74B059">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jc w:val="center"/>
        <w:textAlignment w:val="baseline"/>
        <w:rPr>
          <w:rFonts w:hint="default"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湖北省经济和信息化委员会        湖北省公安厅</w:t>
      </w:r>
    </w:p>
    <w:p w14:paraId="62101BB5">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jc w:val="center"/>
        <w:textAlignment w:val="baseline"/>
        <w:rPr>
          <w:rFonts w:hint="eastAsia" w:ascii="仿宋_GB2312" w:hAnsi="仿宋_GB2312" w:eastAsia="仿宋_GB2312" w:cs="仿宋_GB2312"/>
          <w:spacing w:val="6"/>
          <w:sz w:val="32"/>
          <w:szCs w:val="32"/>
          <w:lang w:val="en-US" w:eastAsia="zh-CN"/>
        </w:rPr>
      </w:pPr>
    </w:p>
    <w:p w14:paraId="534C310E">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jc w:val="center"/>
        <w:textAlignment w:val="baseline"/>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湖北省财政厅              湖北省环境保护厅</w:t>
      </w:r>
    </w:p>
    <w:p w14:paraId="448DCB5F">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jc w:val="center"/>
        <w:textAlignment w:val="baseline"/>
        <w:rPr>
          <w:rFonts w:hint="eastAsia" w:ascii="仿宋_GB2312" w:hAnsi="仿宋_GB2312" w:eastAsia="仿宋_GB2312" w:cs="仿宋_GB2312"/>
          <w:spacing w:val="6"/>
          <w:sz w:val="32"/>
          <w:szCs w:val="32"/>
          <w:lang w:val="en-US" w:eastAsia="zh-CN"/>
        </w:rPr>
      </w:pPr>
    </w:p>
    <w:p w14:paraId="3DA3CF82">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jc w:val="center"/>
        <w:textAlignment w:val="baseline"/>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湖北省交通运输厅           湖北省国家税务局</w:t>
      </w:r>
    </w:p>
    <w:p w14:paraId="5D4DE46A">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jc w:val="center"/>
        <w:textAlignment w:val="baseline"/>
        <w:rPr>
          <w:rFonts w:hint="eastAsia" w:ascii="仿宋_GB2312" w:hAnsi="仿宋_GB2312" w:eastAsia="仿宋_GB2312" w:cs="仿宋_GB2312"/>
          <w:spacing w:val="6"/>
          <w:sz w:val="32"/>
          <w:szCs w:val="32"/>
          <w:lang w:val="en-US" w:eastAsia="zh-CN"/>
        </w:rPr>
      </w:pPr>
    </w:p>
    <w:p w14:paraId="49CF2CBE">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jc w:val="center"/>
        <w:textAlignment w:val="baseline"/>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湖北省地方税务局      湖北省工商行政管理局</w:t>
      </w:r>
    </w:p>
    <w:p w14:paraId="3D2378C7">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textAlignment w:val="baseline"/>
        <w:rPr>
          <w:rFonts w:hint="eastAsia" w:ascii="仿宋_GB2312" w:hAnsi="仿宋_GB2312" w:eastAsia="仿宋_GB2312" w:cs="仿宋_GB2312"/>
          <w:spacing w:val="6"/>
          <w:sz w:val="32"/>
          <w:szCs w:val="32"/>
          <w:lang w:val="en-US" w:eastAsia="zh-CN"/>
        </w:rPr>
      </w:pPr>
    </w:p>
    <w:p w14:paraId="2A5BEE24">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textAlignment w:val="baseline"/>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中国银行业监督管理委员会湖北监管局 中国保险监督管理委员会湖北监管局</w:t>
      </w:r>
    </w:p>
    <w:p w14:paraId="70953A3B">
      <w:pPr>
        <w:keepNext w:val="0"/>
        <w:keepLines w:val="0"/>
        <w:pageBreakBefore w:val="0"/>
        <w:widowControl/>
        <w:kinsoku w:val="0"/>
        <w:wordWrap/>
        <w:overflowPunct/>
        <w:topLinePunct w:val="0"/>
        <w:autoSpaceDE w:val="0"/>
        <w:autoSpaceDN w:val="0"/>
        <w:bidi w:val="0"/>
        <w:adjustRightInd w:val="0"/>
        <w:snapToGrid w:val="0"/>
        <w:spacing w:line="560" w:lineRule="exact"/>
        <w:ind w:right="-69" w:rightChars="0"/>
        <w:textAlignment w:val="baseline"/>
        <w:rPr>
          <w:rFonts w:hint="eastAsia" w:ascii="仿宋_GB2312" w:hAnsi="仿宋_GB2312" w:eastAsia="仿宋_GB2312" w:cs="仿宋_GB2312"/>
          <w:spacing w:val="6"/>
          <w:sz w:val="32"/>
          <w:szCs w:val="32"/>
          <w:lang w:val="en-US" w:eastAsia="zh-CN"/>
        </w:rPr>
      </w:pPr>
    </w:p>
    <w:p w14:paraId="597929C4">
      <w:pPr>
        <w:keepNext w:val="0"/>
        <w:keepLines w:val="0"/>
        <w:pageBreakBefore w:val="0"/>
        <w:widowControl/>
        <w:kinsoku w:val="0"/>
        <w:wordWrap/>
        <w:overflowPunct/>
        <w:topLinePunct w:val="0"/>
        <w:autoSpaceDE w:val="0"/>
        <w:autoSpaceDN w:val="0"/>
        <w:bidi w:val="0"/>
        <w:adjustRightInd w:val="0"/>
        <w:snapToGrid w:val="0"/>
        <w:spacing w:line="560" w:lineRule="exact"/>
        <w:ind w:right="640" w:rightChars="0"/>
        <w:jc w:val="right"/>
        <w:textAlignment w:val="baseline"/>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2016年12月8日</w:t>
      </w:r>
    </w:p>
    <w:sectPr>
      <w:headerReference r:id="rId5" w:type="default"/>
      <w:footerReference r:id="rId6" w:type="default"/>
      <w:pgSz w:w="11900" w:h="16830"/>
      <w:pgMar w:top="1430" w:right="1520" w:bottom="400" w:left="176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C6B04">
    <w:pPr>
      <w:spacing w:line="14" w:lineRule="auto"/>
      <w:rPr>
        <w:rFonts w:ascii="Arial"/>
        <w:sz w:val="2"/>
      </w:rPr>
    </w:pPr>
    <w:r>
      <w:rPr>
        <w:rFonts w:hint="eastAsia" w:eastAsiaTheme="minorEastAsia"/>
        <w:lang w:eastAsia="zh-CN"/>
      </w:rPr>
      <w:drawing>
        <wp:inline distT="0" distB="0" distL="114300" distR="114300">
          <wp:extent cx="5513070" cy="797560"/>
          <wp:effectExtent l="0" t="0" r="11430" b="2540"/>
          <wp:docPr id="3" name="图片 3" descr="生成页眉页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成页眉页脚 (1)"/>
                  <pic:cNvPicPr>
                    <a:picLocks noChangeAspect="1"/>
                  </pic:cNvPicPr>
                </pic:nvPicPr>
                <pic:blipFill>
                  <a:blip r:embed="rId1"/>
                  <a:srcRect b="72952"/>
                  <a:stretch>
                    <a:fillRect/>
                  </a:stretch>
                </pic:blipFill>
                <pic:spPr>
                  <a:xfrm>
                    <a:off x="0" y="0"/>
                    <a:ext cx="5513070" cy="7975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2439B">
    <w:pPr>
      <w:pStyle w:val="3"/>
    </w:pPr>
    <w:r>
      <w:rPr>
        <w:rFonts w:hint="eastAsia" w:eastAsiaTheme="minorEastAsia"/>
        <w:lang w:eastAsia="zh-CN"/>
      </w:rPr>
      <w:drawing>
        <wp:inline distT="0" distB="0" distL="114300" distR="114300">
          <wp:extent cx="3244850" cy="564515"/>
          <wp:effectExtent l="0" t="0" r="12700" b="6985"/>
          <wp:docPr id="2" name="图片 2"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成页眉页脚"/>
                  <pic:cNvPicPr>
                    <a:picLocks noChangeAspect="1"/>
                  </pic:cNvPicPr>
                </pic:nvPicPr>
                <pic:blipFill>
                  <a:blip r:embed="rId1"/>
                  <a:srcRect b="64502"/>
                  <a:stretch>
                    <a:fillRect/>
                  </a:stretch>
                </pic:blipFill>
                <pic:spPr>
                  <a:xfrm>
                    <a:off x="0" y="0"/>
                    <a:ext cx="3244850" cy="564515"/>
                  </a:xfrm>
                  <a:prstGeom prst="rect">
                    <a:avLst/>
                  </a:prstGeom>
                  <a:ln>
                    <a:noFill/>
                  </a:ln>
                </pic:spPr>
              </pic:pic>
            </a:graphicData>
          </a:graphic>
        </wp:inline>
      </w:drawing>
    </w:r>
    <w:r>
      <w:rPr>
        <w:rFonts w:hint="eastAsia" w:eastAsiaTheme="minorEastAsia"/>
        <w:lang w:eastAsia="zh-CN"/>
      </w:rPr>
      <w:drawing>
        <wp:inline distT="0" distB="0" distL="114300" distR="114300">
          <wp:extent cx="5118735" cy="91440"/>
          <wp:effectExtent l="0" t="0" r="5715" b="3810"/>
          <wp:docPr id="4" name="图片 4"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成页眉页脚"/>
                  <pic:cNvPicPr>
                    <a:picLocks noChangeAspect="1"/>
                  </pic:cNvPicPr>
                </pic:nvPicPr>
                <pic:blipFill>
                  <a:blip r:embed="rId1"/>
                  <a:srcRect l="1523" t="85718" r="1028" b="9848"/>
                  <a:stretch>
                    <a:fillRect/>
                  </a:stretch>
                </pic:blipFill>
                <pic:spPr>
                  <a:xfrm>
                    <a:off x="0" y="0"/>
                    <a:ext cx="5118735" cy="914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jIxMTVkNjBlY2EwYjk1NWVjZTZjYWJmOGZkZGNhOWMifQ=="/>
  </w:docVars>
  <w:rsids>
    <w:rsidRoot w:val="00000000"/>
    <w:rsid w:val="039667A9"/>
    <w:rsid w:val="0535714C"/>
    <w:rsid w:val="058368B9"/>
    <w:rsid w:val="06C672D2"/>
    <w:rsid w:val="082500FC"/>
    <w:rsid w:val="08CF1E16"/>
    <w:rsid w:val="09077801"/>
    <w:rsid w:val="0ABE4F35"/>
    <w:rsid w:val="0B123A20"/>
    <w:rsid w:val="0C594818"/>
    <w:rsid w:val="0D4A4AC2"/>
    <w:rsid w:val="0DFE5677"/>
    <w:rsid w:val="0EA7186A"/>
    <w:rsid w:val="109127D2"/>
    <w:rsid w:val="116A6B7F"/>
    <w:rsid w:val="12EF64C3"/>
    <w:rsid w:val="13367661"/>
    <w:rsid w:val="14A30D26"/>
    <w:rsid w:val="14E1184E"/>
    <w:rsid w:val="17147CB9"/>
    <w:rsid w:val="17A32DEB"/>
    <w:rsid w:val="17F710CB"/>
    <w:rsid w:val="18585984"/>
    <w:rsid w:val="19533227"/>
    <w:rsid w:val="1C9378D2"/>
    <w:rsid w:val="1DB21FDA"/>
    <w:rsid w:val="1E4C5F8A"/>
    <w:rsid w:val="1EAE09F3"/>
    <w:rsid w:val="1FE741BD"/>
    <w:rsid w:val="21731A80"/>
    <w:rsid w:val="21C06CC2"/>
    <w:rsid w:val="23E56F43"/>
    <w:rsid w:val="255D282B"/>
    <w:rsid w:val="25AF2456"/>
    <w:rsid w:val="26B96187"/>
    <w:rsid w:val="279A004B"/>
    <w:rsid w:val="28C64B8B"/>
    <w:rsid w:val="2A712478"/>
    <w:rsid w:val="2A7D74CC"/>
    <w:rsid w:val="2B634486"/>
    <w:rsid w:val="2B7E174D"/>
    <w:rsid w:val="2E5073D1"/>
    <w:rsid w:val="2F1321AD"/>
    <w:rsid w:val="2F283EAA"/>
    <w:rsid w:val="2F4D1B62"/>
    <w:rsid w:val="304C1E1A"/>
    <w:rsid w:val="304F36B8"/>
    <w:rsid w:val="32E77BD8"/>
    <w:rsid w:val="36DF5796"/>
    <w:rsid w:val="373A29CC"/>
    <w:rsid w:val="37E42938"/>
    <w:rsid w:val="384F4255"/>
    <w:rsid w:val="392E2DE3"/>
    <w:rsid w:val="39B36A66"/>
    <w:rsid w:val="3D865A8F"/>
    <w:rsid w:val="3E444130"/>
    <w:rsid w:val="40F04493"/>
    <w:rsid w:val="41D028AB"/>
    <w:rsid w:val="42A45AE6"/>
    <w:rsid w:val="443609BF"/>
    <w:rsid w:val="4456696C"/>
    <w:rsid w:val="46FC37FA"/>
    <w:rsid w:val="47523D62"/>
    <w:rsid w:val="47FD386B"/>
    <w:rsid w:val="48E7672C"/>
    <w:rsid w:val="48FB5D34"/>
    <w:rsid w:val="496F0BFB"/>
    <w:rsid w:val="49C83E68"/>
    <w:rsid w:val="4C313A81"/>
    <w:rsid w:val="4C5916EF"/>
    <w:rsid w:val="4E2F5E56"/>
    <w:rsid w:val="4F50502B"/>
    <w:rsid w:val="524349D3"/>
    <w:rsid w:val="52756B57"/>
    <w:rsid w:val="528374C6"/>
    <w:rsid w:val="52EA12F3"/>
    <w:rsid w:val="52F201A7"/>
    <w:rsid w:val="55436A98"/>
    <w:rsid w:val="55801A9A"/>
    <w:rsid w:val="55853555"/>
    <w:rsid w:val="55CC1183"/>
    <w:rsid w:val="5987789B"/>
    <w:rsid w:val="59C83A10"/>
    <w:rsid w:val="5AA71877"/>
    <w:rsid w:val="5ADF54B5"/>
    <w:rsid w:val="5BFD3E45"/>
    <w:rsid w:val="5C3D2493"/>
    <w:rsid w:val="5C936557"/>
    <w:rsid w:val="5CCB3F43"/>
    <w:rsid w:val="5D221689"/>
    <w:rsid w:val="5D3F66DF"/>
    <w:rsid w:val="5DAA369A"/>
    <w:rsid w:val="60522285"/>
    <w:rsid w:val="6106379C"/>
    <w:rsid w:val="61BA27D8"/>
    <w:rsid w:val="62E21FE6"/>
    <w:rsid w:val="630B32EB"/>
    <w:rsid w:val="632E2B36"/>
    <w:rsid w:val="637644DD"/>
    <w:rsid w:val="64EF1CE7"/>
    <w:rsid w:val="655D3BA6"/>
    <w:rsid w:val="66442670"/>
    <w:rsid w:val="67C9107F"/>
    <w:rsid w:val="67E81E4D"/>
    <w:rsid w:val="6D0019E7"/>
    <w:rsid w:val="6E272FA3"/>
    <w:rsid w:val="6FB62831"/>
    <w:rsid w:val="6FB645DF"/>
    <w:rsid w:val="700F0193"/>
    <w:rsid w:val="706153CC"/>
    <w:rsid w:val="71BD1168"/>
    <w:rsid w:val="72AE5A41"/>
    <w:rsid w:val="74AE7F7A"/>
    <w:rsid w:val="74D6127F"/>
    <w:rsid w:val="7671300D"/>
    <w:rsid w:val="77AF1556"/>
    <w:rsid w:val="79246A5D"/>
    <w:rsid w:val="79C1605A"/>
    <w:rsid w:val="7C120DEF"/>
    <w:rsid w:val="7CA13F21"/>
    <w:rsid w:val="7D657644"/>
    <w:rsid w:val="7DAC7021"/>
    <w:rsid w:val="7F4C286A"/>
    <w:rsid w:val="7FC900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55"/>
      <w:szCs w:val="55"/>
      <w:lang w:val="en-US" w:eastAsia="en-US" w:bidi="ar-SA"/>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5</Pages>
  <Words>2458</Words>
  <Characters>2481</Characters>
  <TotalTime>0</TotalTime>
  <ScaleCrop>false</ScaleCrop>
  <LinksUpToDate>false</LinksUpToDate>
  <CharactersWithSpaces>2536</CharactersWithSpaces>
  <Application>WPS Office_12.1.0.19770_F1E327BC-269C-435d-A152-05C5408002CA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2023-11-29T17:09:00Z</dcterms:created>
  <dc:creator>Kingsoft-PDF</dc:creator>
  <cp:lastModifiedBy>欣心</cp:lastModifiedBy>
  <dcterms:modified xsi:type="dcterms:W3CDTF">2026-01-28T08:36:41Z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2023-11-29T17:09:53Z</vt:filetime>
  </property>
  <property fmtid="{D5CDD505-2E9C-101B-9397-08002B2CF9AE}" pid="4" name="UsrData">
    <vt:lpwstr>6566ffd875ed98001f10e6a5wl</vt:lpwstr>
  </property>
  <property fmtid="{D5CDD505-2E9C-101B-9397-08002B2CF9AE}" pid="5" name="KSOProductBuildVer">
    <vt:lpwstr>2052-12.1.0.19770</vt:lpwstr>
  </property>
  <property fmtid="{D5CDD505-2E9C-101B-9397-08002B2CF9AE}" pid="6" name="ICV">
    <vt:lpwstr>C12B30651BED4BAABAB54EE9A061637F_13</vt:lpwstr>
  </property>
  <property fmtid="{D5CDD505-2E9C-101B-9397-08002B2CF9AE}" pid="7" name="KSOTemplateDocerSaveRecord">
    <vt:lpwstr>eyJoZGlkIjoiMTkxZmVmYzUzYjk5NzJjYzY5YmQ4OTA5YWEyMjBhODAiLCJ1c2VySWQiOiIzMDY0NTA4MzIifQ==</vt:lpwstr>
  </property>
</Properties>
</file>