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</w:rPr>
      </w:pPr>
      <w:r>
        <w:rPr>
          <w:rFonts w:hint="default" w:ascii="Times New Roman" w:hAnsi="Times New Roman" w:eastAsia="华文中宋" w:cs="Times New Roman"/>
          <w:b/>
          <w:sz w:val="44"/>
        </w:rPr>
        <w:t>湖北省</w:t>
      </w:r>
      <w:r>
        <w:rPr>
          <w:rFonts w:hint="eastAsia" w:ascii="Times New Roman" w:hAnsi="Times New Roman" w:eastAsia="华文中宋" w:cs="Times New Roman"/>
          <w:b/>
          <w:sz w:val="44"/>
          <w:lang w:eastAsia="zh-CN"/>
        </w:rPr>
        <w:t>公共海外仓</w:t>
      </w:r>
      <w:r>
        <w:rPr>
          <w:rFonts w:hint="default" w:ascii="Times New Roman" w:hAnsi="Times New Roman" w:eastAsia="华文中宋" w:cs="Times New Roman"/>
          <w:b/>
          <w:sz w:val="44"/>
        </w:rPr>
        <w:t>认定管理办法（试行）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第一章 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第一条  为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贯彻落实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《关于推进全省对外贸易创新发展的若干措施》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文件精神，推进外贸跨境服务体系建设，为全省外贸企业提供海外仓储物流等公共服务，</w:t>
      </w:r>
      <w:r>
        <w:rPr>
          <w:rFonts w:hint="default" w:ascii="Times New Roman" w:hAnsi="Times New Roman" w:eastAsia="仿宋_GB2312" w:cs="Times New Roman"/>
          <w:sz w:val="32"/>
        </w:rPr>
        <w:t>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第二条  湖北省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公共海外仓（以下简称“海外仓”）</w:t>
      </w:r>
      <w:r>
        <w:rPr>
          <w:rFonts w:hint="default" w:ascii="Times New Roman" w:hAnsi="Times New Roman" w:eastAsia="仿宋_GB2312" w:cs="Times New Roman"/>
          <w:sz w:val="32"/>
        </w:rPr>
        <w:t>是指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由我省企业根据目的国（地区）法律法规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境外（含港澳台）</w:t>
      </w:r>
      <w:r>
        <w:rPr>
          <w:rFonts w:eastAsia="仿宋_GB2312"/>
          <w:sz w:val="32"/>
          <w:szCs w:val="32"/>
        </w:rPr>
        <w:t>以自建、</w:t>
      </w:r>
      <w:r>
        <w:rPr>
          <w:rFonts w:hint="eastAsia" w:eastAsia="仿宋_GB2312"/>
          <w:sz w:val="32"/>
          <w:szCs w:val="32"/>
          <w:lang w:eastAsia="zh-CN"/>
        </w:rPr>
        <w:t>合作或</w:t>
      </w:r>
      <w:r>
        <w:rPr>
          <w:rFonts w:eastAsia="仿宋_GB2312"/>
          <w:sz w:val="32"/>
          <w:szCs w:val="32"/>
        </w:rPr>
        <w:t>租赁等形式建设运营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海外备货仓或中转集货仓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依托信息化管理系统，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省内多家外贸企业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完成从国内集货、出口退税、国际运输和清关、海外仓储管理、目的国（地区）配送、商品展示、国际营销等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第三条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海外仓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认定工作按照</w:t>
      </w:r>
      <w:r>
        <w:rPr>
          <w:rFonts w:hint="default" w:ascii="Times New Roman" w:hAnsi="Times New Roman" w:eastAsia="仿宋_GB2312" w:cs="Times New Roman"/>
          <w:sz w:val="32"/>
        </w:rPr>
        <w:t>“自愿申报、公开公正、择优认定”的思路，原则上每年组织一次申报、认定。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第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</w:rPr>
        <w:t xml:space="preserve">条  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湖北</w:t>
      </w:r>
      <w:r>
        <w:rPr>
          <w:rFonts w:hint="default" w:ascii="Times New Roman" w:hAnsi="Times New Roman" w:eastAsia="仿宋_GB2312" w:cs="Times New Roman"/>
          <w:sz w:val="32"/>
        </w:rPr>
        <w:t>省商务厅负责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海外仓</w:t>
      </w:r>
      <w:r>
        <w:rPr>
          <w:rFonts w:hint="default" w:ascii="Times New Roman" w:hAnsi="Times New Roman" w:eastAsia="仿宋_GB2312" w:cs="Times New Roman"/>
          <w:sz w:val="32"/>
        </w:rPr>
        <w:t>的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</w:rPr>
        <w:t>认定、考核和管理。各市（州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、林区</w:t>
      </w:r>
      <w:r>
        <w:rPr>
          <w:rFonts w:hint="default" w:ascii="Times New Roman" w:hAnsi="Times New Roman" w:eastAsia="仿宋_GB2312" w:cs="Times New Roman"/>
          <w:sz w:val="32"/>
        </w:rPr>
        <w:t>）商务主管部门推荐符合条件的主体申报，负责当地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企业海外仓</w:t>
      </w:r>
      <w:r>
        <w:rPr>
          <w:rFonts w:hint="default" w:ascii="Times New Roman" w:hAnsi="Times New Roman" w:eastAsia="仿宋_GB2312" w:cs="Times New Roman"/>
          <w:sz w:val="32"/>
        </w:rPr>
        <w:t>的培育和管理。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tabs>
          <w:tab w:val="center" w:pos="4482"/>
          <w:tab w:val="left" w:pos="6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ab/>
      </w:r>
      <w:r>
        <w:rPr>
          <w:rFonts w:hint="default" w:ascii="Times New Roman" w:hAnsi="Times New Roman" w:eastAsia="黑体" w:cs="Times New Roman"/>
          <w:sz w:val="32"/>
        </w:rPr>
        <w:t>第二章  申报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和认定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第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条  申报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海外仓</w:t>
      </w:r>
      <w:r>
        <w:rPr>
          <w:rFonts w:hint="default" w:ascii="Times New Roman" w:hAnsi="Times New Roman" w:eastAsia="仿宋_GB2312" w:cs="Times New Roman"/>
          <w:sz w:val="32"/>
        </w:rPr>
        <w:t>应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具备</w:t>
      </w:r>
      <w:r>
        <w:rPr>
          <w:rFonts w:hint="default" w:ascii="Times New Roman" w:hAnsi="Times New Roman" w:eastAsia="仿宋_GB2312" w:cs="Times New Roman"/>
          <w:sz w:val="32"/>
        </w:rPr>
        <w:t>以下基本条件：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（一）在境外运营1年以上，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优先考虑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“一带一路”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、RCEP协定成员国、中欧班列（武汉）沿线及欧美等出口主要市场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的公共海外仓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（二）能为外贸企业提供通关物流、入库分拣、入库质检、本地配送、展示、售后维修、退换货管理、信息化数据服务、营销推广、金融等综合服务中的至少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3项服务。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配套完善的信息化管理系统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，应包括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ERP（企业资源管理系统）、WMS（仓库管理系统），ERP具备但不限于订单管理、库存管理、头程运输管理、计费结算等功能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（四）具有辐射当地市场的物流配送渠道，与当地多家服务供应商建立稳定的营销网络、物流配送、信息交流等渠道，初步在当地形成配送辐射网点。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仓储面积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000平方米以上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（六）能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3家以上湖北外贸企业（不隶属于同一集团公司），且承诺对湖北外贸企业开放和共享。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第六条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海外仓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的申报主体为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建设运营企业，并应具备以下基本条件：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（一）在我省依法注册1年以上，具有独立法人资格，经营情况良好，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未违反我国和所在国法律法规</w:t>
      </w:r>
      <w:r>
        <w:rPr>
          <w:rFonts w:hint="default" w:ascii="Times New Roman" w:hAnsi="Times New Roman" w:eastAsia="仿宋_GB2312" w:cs="Times New Roman"/>
          <w:sz w:val="32"/>
        </w:rPr>
        <w:t>，无重大安全生产事故。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（二）有能力在境外建设运营仓储设施。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具有一定数量的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海外仓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专业从业人员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熟悉了解目的国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（地区）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海关政策法规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、税务、法务等。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（四）</w:t>
      </w:r>
      <w:r>
        <w:rPr>
          <w:rFonts w:eastAsia="仿宋_GB2312"/>
          <w:sz w:val="32"/>
          <w:szCs w:val="32"/>
        </w:rPr>
        <w:t>产权</w:t>
      </w:r>
      <w:r>
        <w:rPr>
          <w:rFonts w:hint="eastAsia" w:eastAsia="仿宋_GB2312"/>
          <w:sz w:val="32"/>
          <w:szCs w:val="32"/>
          <w:lang w:eastAsia="zh-CN"/>
        </w:rPr>
        <w:t>投资</w:t>
      </w:r>
      <w:r>
        <w:rPr>
          <w:rFonts w:eastAsia="仿宋_GB2312"/>
          <w:sz w:val="32"/>
          <w:szCs w:val="32"/>
        </w:rPr>
        <w:t>关系清晰</w:t>
      </w:r>
      <w:r>
        <w:rPr>
          <w:rFonts w:hint="eastAsia" w:eastAsia="仿宋_GB2312"/>
          <w:sz w:val="32"/>
          <w:szCs w:val="32"/>
          <w:lang w:eastAsia="zh-CN"/>
        </w:rPr>
        <w:t>，海外仓所有权或经营权所属公司由申报企业直接投资或控股。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条 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申报主体</w:t>
      </w:r>
      <w:r>
        <w:rPr>
          <w:rFonts w:hint="default" w:ascii="Times New Roman" w:hAnsi="Times New Roman" w:eastAsia="仿宋_GB2312" w:cs="Times New Roman"/>
          <w:sz w:val="32"/>
        </w:rPr>
        <w:t>需提交如下材料：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（一）申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（二）申请报告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（相关证明材料可提交彩色扫描件）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海外仓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基本概况，具体指海外仓基本情况、业务开展情况、建设资金或租赁资金投入情况、营业收入情况、服务企业的业务规模、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未来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2年业务拓展计划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 xml:space="preserve">2.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产权投资关系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证明材料，具体指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主体的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营业执照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、海外仓所有权或经营权所属公司营业执照或证明、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海外仓的营业执照或经营许可证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、申报主体与海外仓产权投资关系证明（企业境外投资证书、入股或合作协议、投资证明、购置证明、租赁合同及付款凭证等）；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 xml:space="preserve">3.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经营能力证明材料，具体包括：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海外仓 ERP、WMS 系统应用开发合同、系统截图等证明材料；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海外仓或其合作方相关通关、报税、法务等服务合作协议或备案资料；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海外仓管理人员的资质、学历等的有关证明材料；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 xml:space="preserve">4.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业务开展证明材料，包括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与外贸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签订的合同以及外贸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支付费用凭证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，近三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海外仓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"/>
        </w:rPr>
        <w:t>发货的系统截图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 xml:space="preserve">5.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海外仓实地场景图片及视频；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6. 申报材料真实性承诺书及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其他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第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</w:rPr>
        <w:t xml:space="preserve">条  </w:t>
      </w:r>
      <w:r>
        <w:rPr>
          <w:rFonts w:hint="eastAsia" w:eastAsia="仿宋_GB2312" w:cs="仿宋_GB2312"/>
          <w:sz w:val="32"/>
          <w:szCs w:val="32"/>
          <w:lang w:bidi="ar"/>
        </w:rPr>
        <w:t>认定</w:t>
      </w:r>
      <w:r>
        <w:rPr>
          <w:rFonts w:hint="eastAsia" w:eastAsia="仿宋_GB2312" w:cs="仿宋_GB2312"/>
          <w:sz w:val="32"/>
          <w:szCs w:val="32"/>
          <w:lang w:eastAsia="zh-CN" w:bidi="ar"/>
        </w:rPr>
        <w:t>海外仓</w:t>
      </w:r>
      <w:r>
        <w:rPr>
          <w:rFonts w:hint="eastAsia" w:eastAsia="仿宋_GB2312" w:cs="仿宋_GB2312"/>
          <w:sz w:val="32"/>
          <w:szCs w:val="32"/>
          <w:lang w:bidi="ar"/>
        </w:rPr>
        <w:t>履行以下程序：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（一）申报。省商务厅向市（州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、林区</w:t>
      </w:r>
      <w:r>
        <w:rPr>
          <w:rFonts w:hint="default" w:ascii="Times New Roman" w:hAnsi="Times New Roman" w:eastAsia="仿宋_GB2312" w:cs="Times New Roman"/>
          <w:sz w:val="32"/>
        </w:rPr>
        <w:t>）商务主管部门下发申报通知，市（州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、林区</w:t>
      </w:r>
      <w:r>
        <w:rPr>
          <w:rFonts w:hint="default" w:ascii="Times New Roman" w:hAnsi="Times New Roman" w:eastAsia="仿宋_GB2312" w:cs="Times New Roman"/>
          <w:sz w:val="32"/>
        </w:rPr>
        <w:t>）商务主管部门组织当地符合条件的主体进行申报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（二）推荐。市（州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、林区</w:t>
      </w:r>
      <w:r>
        <w:rPr>
          <w:rFonts w:hint="default" w:ascii="Times New Roman" w:hAnsi="Times New Roman" w:eastAsia="仿宋_GB2312" w:cs="Times New Roman"/>
          <w:sz w:val="32"/>
        </w:rPr>
        <w:t>）商务主管部门审核申报主体提交的申报材料，研究提出推荐名单，以正式文件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（附申报材料）</w:t>
      </w:r>
      <w:r>
        <w:rPr>
          <w:rFonts w:hint="default" w:ascii="Times New Roman" w:hAnsi="Times New Roman" w:eastAsia="仿宋_GB2312" w:cs="Times New Roman"/>
          <w:sz w:val="32"/>
        </w:rPr>
        <w:t>上报省商务厅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</w:rPr>
        <w:t>（三）评审。省商务厅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对各地上报的材料进行复审，并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会同省税务局、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武汉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海关、省外汇管理局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等部门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研究会审，形成审核结果；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（四）公示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、发布</w:t>
      </w:r>
      <w:r>
        <w:rPr>
          <w:rFonts w:hint="default" w:ascii="Times New Roman" w:hAnsi="Times New Roman" w:eastAsia="仿宋_GB2312" w:cs="Times New Roman"/>
          <w:sz w:val="32"/>
        </w:rPr>
        <w:t>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省商务厅通过网站公示入选名单，</w:t>
      </w:r>
      <w:r>
        <w:rPr>
          <w:rFonts w:hint="default" w:ascii="Times New Roman" w:hAnsi="Times New Roman" w:eastAsia="仿宋_GB2312" w:cs="Times New Roman"/>
          <w:sz w:val="32"/>
        </w:rPr>
        <w:t>公示时间不少于5个工作日。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公示期满后</w:t>
      </w:r>
      <w:r>
        <w:rPr>
          <w:rFonts w:hint="default" w:ascii="Times New Roman" w:hAnsi="Times New Roman" w:eastAsia="仿宋_GB2312" w:cs="Times New Roman"/>
          <w:sz w:val="32"/>
        </w:rPr>
        <w:t>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</w:rPr>
        <w:t>省商务厅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予以认定</w:t>
      </w:r>
      <w:r>
        <w:rPr>
          <w:rFonts w:hint="default" w:ascii="Times New Roman" w:hAnsi="Times New Roman" w:eastAsia="仿宋_GB2312" w:cs="Times New Roman"/>
          <w:sz w:val="32"/>
        </w:rPr>
        <w:t>。对公示期间提出的异议，省商务厅组织相关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</w:rPr>
        <w:t>进行调查和复审。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第九条</w:t>
      </w:r>
      <w:r>
        <w:rPr>
          <w:rFonts w:eastAsia="仿宋_GB2312"/>
          <w:b/>
          <w:sz w:val="32"/>
          <w:szCs w:val="32"/>
          <w:lang w:bidi="ar"/>
        </w:rPr>
        <w:t xml:space="preserve"> </w:t>
      </w:r>
      <w:r>
        <w:rPr>
          <w:rFonts w:eastAsia="仿宋_GB2312"/>
          <w:color w:val="000000"/>
          <w:sz w:val="32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经认定的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海外仓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，名称冠以“湖北省XX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公共海外仓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”字样，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由省商务厅统一授牌。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第三章  管理和考核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经认定的海外仓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需接受当地商务主管部门的管理和业务指导，定期报送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有关统计数据和运行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发展情况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 xml:space="preserve">第十一条 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经认定的海外仓可享受的支持政策。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（一）符合国家、省、市相关资金扶持条件的，可予以相应支持。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（二）推荐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海外仓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入驻“楚贸通”外贸数字化公共平台。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（三）各级政府及相关部门制定的支持海外仓发展的政策措施。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_GB2312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</w:rPr>
        <w:t>第十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</w:rPr>
        <w:t xml:space="preserve">条  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省商务厅每年对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海外仓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开展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量化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考核评估和动态管理，新认定的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海外仓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当年不列入考核。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 w:cs="仿宋_GB2312"/>
          <w:color w:val="000000"/>
          <w:sz w:val="32"/>
          <w:szCs w:val="32"/>
          <w:lang w:bidi="ar"/>
        </w:rPr>
      </w:pPr>
      <w:r>
        <w:rPr>
          <w:rFonts w:hint="eastAsia" w:eastAsia="仿宋_GB2312" w:cs="仿宋_GB2312"/>
          <w:color w:val="000000"/>
          <w:sz w:val="32"/>
          <w:szCs w:val="32"/>
          <w:lang w:bidi="ar"/>
        </w:rPr>
        <w:t>（一）考核内容包括上一年度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海外仓服务我省外贸企业的家数及货值或货量情况、海外仓设施和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管理服务体系完善情况、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公共服务满意度情况、运行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材料报送情况等。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 w:cs="仿宋_GB2312"/>
          <w:color w:val="000000"/>
          <w:sz w:val="32"/>
          <w:szCs w:val="32"/>
          <w:lang w:bidi="ar"/>
        </w:rPr>
      </w:pPr>
      <w:r>
        <w:rPr>
          <w:rFonts w:hint="eastAsia" w:eastAsia="仿宋_GB2312" w:cs="仿宋_GB2312"/>
          <w:color w:val="000000"/>
          <w:sz w:val="32"/>
          <w:szCs w:val="32"/>
          <w:lang w:bidi="ar"/>
        </w:rPr>
        <w:t>（二）各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海外仓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向省商务厅报送考核材料，省商务厅委托第三方评审机构进行材料审核，形成初步考核意见。省商务厅会同相关部门进行复审后，形成考核结果。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 w:cs="仿宋_GB2312"/>
          <w:color w:val="000000"/>
          <w:sz w:val="32"/>
          <w:szCs w:val="32"/>
          <w:lang w:bidi="ar"/>
        </w:rPr>
      </w:pPr>
      <w:r>
        <w:rPr>
          <w:rFonts w:hint="eastAsia" w:eastAsia="仿宋_GB2312" w:cs="仿宋_GB2312"/>
          <w:color w:val="000000"/>
          <w:sz w:val="32"/>
          <w:szCs w:val="32"/>
          <w:lang w:bidi="ar"/>
        </w:rPr>
        <w:t>（三）考核结果较好的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海外仓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将作为重点培育对象，较为落后的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海外仓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将被列为动态调整对象。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w:t>第十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</w:rPr>
        <w:t xml:space="preserve">条  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已认定的</w:t>
      </w:r>
      <w:r>
        <w:rPr>
          <w:rFonts w:hint="eastAsia" w:eastAsia="仿宋_GB2312" w:cs="仿宋_GB2312"/>
          <w:color w:val="000000"/>
          <w:sz w:val="32"/>
          <w:szCs w:val="32"/>
          <w:lang w:eastAsia="zh-CN" w:bidi="ar"/>
        </w:rPr>
        <w:t>海外仓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其经营主体、产权发生变更，应在变更之日起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</w:t>
      </w:r>
      <w:r>
        <w:rPr>
          <w:rFonts w:hint="eastAsia" w:eastAsia="仿宋_GB2312" w:cs="仿宋_GB2312"/>
          <w:color w:val="000000"/>
          <w:sz w:val="32"/>
          <w:szCs w:val="32"/>
          <w:lang w:bidi="ar"/>
        </w:rPr>
        <w:t>个月内及时将情况报告省商务厅。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第十四条</w:t>
      </w:r>
      <w:r>
        <w:rPr>
          <w:rFonts w:eastAsia="仿宋_GB2312"/>
          <w:color w:val="00000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已认定的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海外仓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有下述情况之一的，</w:t>
      </w:r>
      <w:r>
        <w:rPr>
          <w:rFonts w:hint="default" w:ascii="Times New Roman" w:hAnsi="Times New Roman" w:eastAsia="仿宋_GB2312" w:cs="Times New Roman"/>
          <w:sz w:val="32"/>
        </w:rPr>
        <w:t>省商务厅将取消其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命名</w:t>
      </w:r>
      <w:r>
        <w:rPr>
          <w:rFonts w:hint="default" w:ascii="Times New Roman" w:hAnsi="Times New Roman" w:eastAsia="仿宋_GB2312" w:cs="Times New Roman"/>
          <w:sz w:val="32"/>
        </w:rPr>
        <w:t>并予以通报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（一）发生</w:t>
      </w:r>
      <w:r>
        <w:rPr>
          <w:rFonts w:hint="default" w:ascii="Times New Roman" w:hAnsi="Times New Roman" w:eastAsia="仿宋_GB2312" w:cs="Times New Roman"/>
          <w:sz w:val="32"/>
        </w:rPr>
        <w:t>重大违法违纪行为、重大安全生产事故的；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（二）连续两年考核评价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被列为动态调整对象的</w:t>
      </w:r>
      <w:r>
        <w:rPr>
          <w:rFonts w:hint="default" w:ascii="Times New Roman" w:hAnsi="Times New Roman" w:eastAsia="仿宋_GB2312" w:cs="Times New Roman"/>
          <w:sz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报送材料存在严重虚假信息的</w:t>
      </w:r>
      <w:r>
        <w:rPr>
          <w:rFonts w:hint="default" w:ascii="Times New Roman" w:hAnsi="Times New Roman" w:eastAsia="仿宋_GB2312" w:cs="Times New Roman"/>
          <w:sz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（四）不符合本试行办法其他要求的。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第四章 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第十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本办法自下发之日起试行两年，由省商务厅负责解释，实施期间，如遇国家相关政策调整，按国家政策执行。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第十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海外仓的申报条件可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根据国家政策变化和我省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外贸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发展情况适时进行调整。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湖北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省公共海外仓申请表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2111"/>
        <w:gridCol w:w="93"/>
        <w:gridCol w:w="1292"/>
        <w:gridCol w:w="66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申报企业名称</w:t>
            </w:r>
          </w:p>
        </w:tc>
        <w:tc>
          <w:tcPr>
            <w:tcW w:w="6756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法定代表人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position w:val="2"/>
                <w:sz w:val="24"/>
              </w:rPr>
            </w:pPr>
          </w:p>
        </w:tc>
        <w:tc>
          <w:tcPr>
            <w:tcW w:w="129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注册地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position w:val="2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 xml:space="preserve"> 市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eastAsia="zh-CN"/>
              </w:rPr>
              <w:t>（州、林区）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县（区/市）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458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企业地址</w:t>
            </w:r>
          </w:p>
        </w:tc>
        <w:tc>
          <w:tcPr>
            <w:tcW w:w="6756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海外仓所有权或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经营权所属公司</w:t>
            </w:r>
          </w:p>
        </w:tc>
        <w:tc>
          <w:tcPr>
            <w:tcW w:w="67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申报企业与公共海外仓产权投资关系说明</w:t>
            </w:r>
          </w:p>
        </w:tc>
        <w:tc>
          <w:tcPr>
            <w:tcW w:w="67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公共海外仓面积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  <w:tc>
          <w:tcPr>
            <w:tcW w:w="195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  <w:t>总投资额（万元）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至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position w:val="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position w:val="2"/>
                <w:sz w:val="18"/>
                <w:szCs w:val="18"/>
                <w:lang w:val="en-US" w:eastAsia="zh-CN"/>
              </w:rPr>
              <w:t>12月31日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18"/>
                <w:szCs w:val="18"/>
              </w:rPr>
              <w:t>）</w:t>
            </w:r>
          </w:p>
        </w:tc>
        <w:tc>
          <w:tcPr>
            <w:tcW w:w="2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公共海外仓所在国家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（地区）城市、地址</w:t>
            </w:r>
          </w:p>
        </w:tc>
        <w:tc>
          <w:tcPr>
            <w:tcW w:w="67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海外仓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发货单数（万单）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eastAsia="zh-CN"/>
              </w:rPr>
              <w:t>、货值（万美元）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  <w:tc>
          <w:tcPr>
            <w:tcW w:w="195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服务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eastAsia="zh-CN"/>
              </w:rPr>
              <w:t>外贸企业及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  <w:lang w:eastAsia="zh-CN"/>
              </w:rPr>
              <w:t>湖北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企业数量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58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海外仓功能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position w:val="2"/>
                <w:sz w:val="24"/>
              </w:rPr>
              <w:t>（勾选）</w:t>
            </w:r>
          </w:p>
        </w:tc>
        <w:tc>
          <w:tcPr>
            <w:tcW w:w="6756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通关物流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入库分拣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入库质检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本地配送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展示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售后维修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positio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退换货管理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信息化数据服务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营销推广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4569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企业法人签名并加盖公章：</w:t>
            </w:r>
          </w:p>
        </w:tc>
        <w:tc>
          <w:tcPr>
            <w:tcW w:w="4645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市州商务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意见（加盖公章）：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333333"/>
          <w:kern w:val="0"/>
          <w:szCs w:val="21"/>
        </w:rPr>
        <w:br w:type="page"/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cs="Times New Roman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申报材料真实性承诺书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我公司郑重承诺：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湖北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省公共海外仓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申报内容及相关证明材料真实有效。若有弄虚作假自愿承担由此造成的法律责任，自愿放弃省级公共海外仓认定资格，3年内不再申报。</w:t>
      </w: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申  报  企  业：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（加盖公章）</w:t>
      </w: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30"/>
          <w:szCs w:val="30"/>
        </w:rPr>
        <w:t>法 定 代 表 人：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 w:val="28"/>
          <w:szCs w:val="28"/>
        </w:rPr>
        <w:t>（签    章）</w:t>
      </w:r>
    </w:p>
    <w:p>
      <w:pPr>
        <w:spacing w:line="560" w:lineRule="exact"/>
        <w:ind w:firstLine="60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30"/>
          <w:szCs w:val="30"/>
        </w:rPr>
        <w:t>日          期：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spacing w:line="200" w:lineRule="exact"/>
        <w:rPr>
          <w:rFonts w:hint="default" w:ascii="Times New Roman" w:hAnsi="Times New Roman" w:eastAsia="仿宋_GB2312" w:cs="Times New Roman"/>
          <w:sz w:val="15"/>
          <w:szCs w:val="15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7" w:h="16840"/>
      <w:pgMar w:top="2098" w:right="1474" w:bottom="1985" w:left="1588" w:header="720" w:footer="1391" w:gutter="0"/>
      <w:pgNumType w:fmt="decimal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60A0"/>
    <w:rsid w:val="550560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2021-08-11T06:10:00Z</dcterms:created>
  <dc:creator>THTF</dc:creator>
  <cp:lastModifiedBy>THTF</cp:lastModifiedBy>
  <dcterms:modified xsi:type="dcterms:W3CDTF">2021-08-11T06:11:28Z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